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HHH</w:t>
      </w:r>
      <w:r>
        <w:rPr>
          <w:rFonts w:ascii="Calibri" w:hAnsi="Calibri"/>
          <w:b/>
          <w:color w:val="1A2010"/>
          <w:sz w:val="40"/>
        </w:rPr>
        <w:t xml:space="preserve">  Howard Hughes Holdings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2026-10-06 · Inspire: 16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Real Estate - Development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Howard Hughes Holdings owns master planned communities (Summerlin, Bridgeland), operating assets and condominium developments, and is being transformed by Pershing Square into a Berkshire-style holding company built around Vantage insurance. Q2 2026 revenue was $1.12B (+330% YoY) on condo closings, Q1 MPC EBT rose 33% to $84.4M, and 2026 condo revenue is guided to $720-750M.</w:t>
      </w:r>
    </w:p>
    <w:p>
      <w:r>
        <w:rPr>
          <w:rFonts w:ascii="Calibri" w:hAnsi="Calibri"/>
          <w:b/>
          <w:color w:val="6E8450"/>
          <w:sz w:val="18"/>
        </w:rPr>
        <w:t>https://www.howardhughes.com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2: strategic transformation into a permanent-capital holding company led by Pershing Square with Vantage insurer at its center [2]. Share 1: leading MPC land seller in Summerlin and Bridgeland (MPC EBT +33%) [1]. Pipeline 2: 2026 guidance of $720-750M condo revenue and $279-290M operating asset NOI [1]. No AI deployment (0) or R&amp;D (0).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2: place-making for communities, clear but not distinctive [1]. Community 1: general community development at scale. Insider conviction 2: Executive Chairman Bill Ackman's Pershing Square has repeatedly increased its stake, a roughly $900M commitment [2]; no retention data.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 (growth weights, 10 units): D/E 135% = 0.72; ROE 7.5% = 0.50 (2x); revenue YoY 330% = 1.0; forward P/E 70 = 0.0; margin 12.3% = 0.62; 5yr CAGR and PEG unavailable. Weighted 3.33/6 = 5.5, rounded to 6.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Controlled by Pershing Square with a mandate to build a perpetual holding company; long-term capital orientation but quarterly lumpiness and transition risk.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Building enduring communities and a permanent-capital compounder is a distinctive long-horizon goal, but the holding-company identity is only 18 months old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team under CEO David O'Reilly was retained through the Pershing transition; no culture survey data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Capital allocation framed around Buffett-style winning; no evidence of worthy-rival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Transforming a real estate developer into a Berkshire-style insurance-led holding company is a fundamental reinvention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Plans to sell up to $4B of real estate to fund insurance acquisitions despite near-term earnings dilution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Q2 2026 revenue reached $1.12B (+330%) on condo closings, MPC EBT grew 33% in Q1 to $84.4M, and 2026 NOI guidance is $279-290M [1]. Pershing Square's control and plan to redeploy real estate cash into Vantage insurance could compound book value like early Berkshire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Forward P/E is 70x, D/E is 135%, ROE is only 7.5%, and Q1 net income fell 25% to $8.7M on higher interest costs [1]. Revenue is lumpy from condo closings, the insurance pivot is unproven, and the stock already reflects the Ackman premium.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Execution of $720-750M condo closings and MPC land sales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Vantage insurance acquisitions funded by asset sales of up to $4B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Pershing Square capital allocation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Lumpy condo revenue and elevated interest costs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Unproven insurance operating model under holding company transition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at 70x forward earnings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Master planned communities, condos and operating assets are physical-world businesses with no AI substitution risk; the filings flag only execution risk of adopting AI too slowly versus competitors [2]. No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16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Howard Hughes Holdings Q1 and Q2 2026 Earnings Releases, SEC 8-K and Simply Wall St,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Pershing Square and Howard Hughes transformation, CoStar/Commercial Property Executive/Hedgeweek,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