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HIW</w:t>
      </w:r>
      <w:r>
        <w:rPr>
          <w:rFonts w:ascii="Calibri" w:hAnsi="Calibri"/>
          <w:b/>
          <w:color w:val="1A2010"/>
          <w:sz w:val="40"/>
        </w:rPr>
        <w:t xml:space="preserve">  Highwoods Properties, Inc.</w:t>
      </w:r>
    </w:p>
    <w:p>
      <w:pPr>
        <w:spacing w:after="120"/>
      </w:pPr>
      <w:r>
        <w:rPr>
          <w:rFonts w:ascii="Calibri" w:hAnsi="Calibri"/>
          <w:b/>
          <w:color w:val="6E8450"/>
          <w:sz w:val="18"/>
        </w:rPr>
        <w:t>DIVIDEND SLEEVE · 2026-09-20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Highwoods Properties is a fully integrated, self-administered REIT that owns, develops, acquires, leases, and manages office properties in the best business districts (BBDs) of fast-growing Sun Belt markets including Raleigh, Nashville, Tampa, Charlotte, Atlanta, Dallas, Orlando, and Richmond. The company owns approximately 27 million square feet of office space. Q2 2026 FFO was $0.90/share with full-year guidance raised to midpoint $3.58/share. Year-end occupancy targeted at 86.5-88.5%. Quarterly dividend of $0.50/share yields approximately 6.6%. Market cap approximately $3.4B.</w:t>
      </w:r>
    </w:p>
    <w:p>
      <w:r>
        <w:rPr>
          <w:rFonts w:ascii="Calibri" w:hAnsi="Calibri"/>
          <w:b/>
          <w:color w:val="6E8450"/>
          <w:sz w:val="18"/>
        </w:rPr>
        <w:t>315 Employees · https://www.highwoods.com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Q2 2026 revenue of $216.4M continued the recovery trajectory, with full-year FFO guidance raised to a $3.58/share midpoint following stronger leasing and operational momentum [1]. Highwoods deployed SmartPark technology replacing outsourced parking operators in 11 urban garages, significantly increasing NOI while improving customer experience [3]. However, these represent incremental operational improvements within the existing BBD office strategy rather than business model transformation. AI Deployment (0/2): No AI-powered products, services, or quantified AI-driven operational savings. CIO Art McCann focuses technology investments on process automation, cybersecurity, and SmartPark — operational efficiency tools rather than AI product deployment [3]. Jefferies downgraded HIW citing limited exposure to AI hub markets as a competitive weakness [2]. Market Share (1/2): Highwoods is a leading Sun Belt BBD office REIT with a differentiated geographic focus in fast-growing markets that have partially outperformed coastal peers post-pandemic. However, it is not the largest office REIT nationally and competes against Cousins Properties, Piedmont, and Kilroy [1]. Product Pipeline (1/2): 2026 FFO guidance raised to $3.46-$3.70, occupancy trajectory improving to 86.5-88.5% year-end, and positive cash rent spreads provide near-term operational visibility [1]. R&amp;D Intensity (0/1): REITs do not conduct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Highwoods' mission is to 'create environments and experiences that inspire teammates and customers to achieve more together,' positioning the company in the 'work-placemaking business' rather than simply as a landlord [4]. This is specific, thoughtful, and connects real estate to enabling human achievement — distinctive for a REIT. The BBD-focused strategy and emphasis on quality workplaces are clearly shaped by this purpose. Community &amp; Charitable Impact (1/2): Green Lease Leader recognition, sustainability-linked debt instruments tying loan costs to emissions reduction targets, and nearly 100 ENERGY STAR certified properties demonstrate genuine environmental commitment [4]. The company has robust ESG reporting standards but no distinctive charitable foundation or community investment programs with quantified dollar amounts were identified. Employee Retention (0/2): With only 315 employees, Highwoods operates as a lean organization. Glassdoor rates culture at 3.4/5 with some complaints about upper management being 'disconnected and unwilling to adapt' [5]. No specific retention or tenure data available. Insider Buying (1/2): Modest net insider buying of approximately $170K in recent months signals some management conviction in the stock at current levels, though the dollar amount is small relative to the $3.4B market cap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Key improvements from Q2 2026: profit margin has expanded to 20.1% (scoring 1.0 vs. 20% target), and ROE improved to 6.82% (scoring 0.45 vs. 15% target) [6]. D/E of 132.6% is moderate for a leveraged REIT, scoring 0.73 against the 70% target [6]. Revenue growth of 7.5% YoY scores 0.92 against the 10% target, and 5-year CAGR of approximately 2.3% scores 0.49 [1][6]. The primary drags are the GAAP forward P/E of 43.46x (inflated by REIT depreciation charges — P/FFO of ~8.5x is more representative but the algorithm uses GAAP P/E, scoring 0.41), the GAAP payout ratio exceeding 100% (scoring 0, though FFO adequately covers the $2.00 annual dividend at 1.79x), and flat dividend growth with zero consecutive years of growth and 5yr CAGR of just 0.82% (scoring 0.14 with 2x weight) [6]. The 32-year consecutive dividend payment streak scores 1.0 with 2x weight, providing partial offset. Liquidity cleared: ~1.54M avg volume x $30.42 = $46.7M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Highwoods shows some long-term orientation through its 32-year dividend history and consistent BBD strategy, but the company lacks a transformative Just Cause, has not adapted its business model despite the most significant secular shift in office demand in modern history, and shows signs of cultural rigidity [4][5]. The flat dividend, limited strategic pivots, and resistance to workplace culture evolution suggest a company playing to preserve the status quo rather than to endure and transform.</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Highwoods articulates a mission to 'create environments and experiences that inspire teammates and customers to achieve more together' and positions itself in the 'work-placemaking business' [4]. This is more than boilerplate — it shows intentionality and connects real estate to enabling human achievement. However, the mission has not been validated through multi-decade consistency under this articulation, and strategic decisions (flat dividend, no diversification, limited innovation) do not consistently trace back to this stated purpose. The company is preserving its office REIT model rather than advancing its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315 employees, Highwoods operates as a lean organization where trust and cohesion matter disproportionately. CEO Klinck's 8-year tenure provides leadership stability, and the consistent BBD strategy gives employees strategic clarity [4]. However, Glassdoor reviews (3.4/5 culture) include concerns that 'leadership has a hard time wanting to pivot and get adjusted to new times' and upper management is 'disconnected,' suggesting adequate but not high organizational trust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mindset. Highwoods competes against Cousins Properties, Piedmont Office Realty, and Kilroy in the Sun Belt/BBD office space, but management commentary focuses on BBD differentiation and occupancy metrics rather than learning from competitors' innovations, AI market positioning, or mixed-use strategies that rivals are pursuing [1][2].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Highwoods has shown no existential flexibility — the company remains a pure-play office REIT despite the most significant structural disruption to office demand in modern history (post-pandemic remote/hybrid work) [1]. While the Sun Belt BBD geographic focus is strategically sound, the company has not meaningfully diversified into adjacent property types (life sciences, flex space, mixed-use, data centers) or adapted its asset base to capture evolving workplace needs. The SmartPark technology is operational innovation, not strategic transformation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Ted Klinck has maintained investment in office properties during the post-pandemic downturn when many investors abandoned the sector, demonstrating conviction in the BBD strategy [1]. Raising 2026 FFO guidance after Q2 results shows operational confidence. However, the flat $2.00/share annual dividend (no growth for multiple years) and cautious occupancy targets of 86.5-88.5% suggest risk-averse management prioritizing preservation over aggressive repositioning or diversification.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Highwoods Properties offers a 6.6% dividend yield on a 32-year consecutive payment streak, backed by a differentiated Sun Belt BBD strategy that is showing operational recovery — Q2 2026 FFO of $0.90/share led management to raise full-year guidance to a $3.58 midpoint, with year-end occupancy targeted at 86.5-88.5% [1]. Revenue of $216.4M in Q2 grew 7.5% YoY, and profit margin expanded to 20.1% reflecting improving fundamentals [6]. The company's ~27M square foot portfolio in fast-growing Sun Belt markets (Raleigh, Nashville, Tampa, Charlotte, Atlanta) benefits from continued population and business migration trends. At P/FFO of approximately 8.5x and with sustainability-linked debt instruments and nearly 100 ENERGY STAR certified properties, HIW combines income generation with ESG credibility [4]. The Inspire ALIGNED rating of 52 with zero negative attributions and 14 positive categories supports faith-based allocation.</w:t>
      </w:r>
    </w:p>
    <w:p>
      <w:pPr>
        <w:spacing w:after="120"/>
      </w:pPr>
      <w:r>
        <w:rPr>
          <w:rFonts w:ascii="Calibri" w:hAnsi="Calibri"/>
          <w:b w:val="0"/>
          <w:color w:val="3A4A28"/>
          <w:sz w:val="20"/>
        </w:rPr>
        <w:t>The bear case centers on secular office demand decline, growth stagnation, and AI market exclusion. The post-pandemic shift to hybrid and remote work has structurally reduced office space demand, and occupancy remains below pre-pandemic norms despite improving leasing activity [1]. Jefferies downgraded HIW specifically because its Sun Belt BBD portfolio lacks exposure to AI tenant demand — the fastest-growing source of office leasing — unlike West Coast peers capturing AI company expansion [2]. The GAAP forward P/E of 43.46x (inflated by REIT depreciation) overstates valuation risk, but D/E of 132.6% creates meaningful interest rate sensitivity [6]. Most critically, the $2.00/share annual dividend has been flat with a 5-year growth CAGR of just 0.82%, offering zero inflation protection and signaling limited financial flexibility. The GAAP payout ratio of 132.5% indicates distributions exceed reported earnings, though FFO coverage of 1.79x is adequate [6]. Glassdoor reviews citing management resistance to cultural adaptation raise concerns about the organization's ability to evolve as workplace needs change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FFO guidance raised to $3.46-$3.70 (midpoint $3.58) on stronger Q2 2026 leasing momentum, with occupancy trajectory improving toward 86.5-88.5% year-end, signaling portfolio stabilization [1]</w:t>
      </w:r>
    </w:p>
    <w:p>
      <w:pPr>
        <w:spacing w:before="40" w:after="40"/>
        <w:ind w:left="283"/>
      </w:pPr>
      <w:r>
        <w:rPr>
          <w:rFonts w:ascii="Calibri" w:hAnsi="Calibri"/>
          <w:b/>
          <w:color w:val="4A6B25"/>
          <w:sz w:val="20"/>
        </w:rPr>
        <w:t xml:space="preserve">2. </w:t>
      </w:r>
      <w:r>
        <w:rPr>
          <w:rFonts w:ascii="Calibri" w:hAnsi="Calibri"/>
          <w:b w:val="0"/>
          <w:color w:val="3A4A28"/>
          <w:sz w:val="20"/>
        </w:rPr>
        <w:t>Sun Belt population and business migration continuing to drive office demand in Highwoods' BBD markets — Raleigh, Nashville, Tampa, Charlotte, and Atlanta are among the fastest-growing U.S. metros [4]</w:t>
      </w:r>
    </w:p>
    <w:p>
      <w:pPr>
        <w:spacing w:before="40" w:after="40"/>
        <w:ind w:left="283"/>
      </w:pPr>
      <w:r>
        <w:rPr>
          <w:rFonts w:ascii="Calibri" w:hAnsi="Calibri"/>
          <w:b/>
          <w:color w:val="4A6B25"/>
          <w:sz w:val="20"/>
        </w:rPr>
        <w:t xml:space="preserve">3. </w:t>
      </w:r>
      <w:r>
        <w:rPr>
          <w:rFonts w:ascii="Calibri" w:hAnsi="Calibri"/>
          <w:b w:val="0"/>
          <w:color w:val="3A4A28"/>
          <w:sz w:val="20"/>
        </w:rPr>
        <w:t>Interest rate reductions in 2026-2027 could lower financing costs on the leveraged capital structure, improve cap rates, and drive REIT sector multiple expansion benefiting the 6.6% yield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office demand decline from remote/hybrid work may permanently impair traditional office space demand, even in growing Sun Belt markets where occupancy remains below pre-pandemic levels [1]</w:t>
      </w:r>
    </w:p>
    <w:p>
      <w:pPr>
        <w:spacing w:before="40" w:after="40"/>
        <w:ind w:left="283"/>
      </w:pPr>
      <w:r>
        <w:rPr>
          <w:rFonts w:ascii="Calibri" w:hAnsi="Calibri"/>
          <w:b/>
          <w:color w:val="4A6B25"/>
          <w:sz w:val="20"/>
        </w:rPr>
        <w:t xml:space="preserve">2. </w:t>
      </w:r>
      <w:r>
        <w:rPr>
          <w:rFonts w:ascii="Calibri" w:hAnsi="Calibri"/>
          <w:b w:val="0"/>
          <w:color w:val="3A4A28"/>
          <w:sz w:val="20"/>
        </w:rPr>
        <w:t>Zero dividend growth — flat $2.00/share annual dividend with 0.82% 5-year CAGR provides no inflation protection and signals limited financial flexibility for reinvestment, growth, or capital return enhancement [6]</w:t>
      </w:r>
    </w:p>
    <w:p>
      <w:pPr>
        <w:spacing w:before="40" w:after="40"/>
        <w:ind w:left="283"/>
      </w:pPr>
      <w:r>
        <w:rPr>
          <w:rFonts w:ascii="Calibri" w:hAnsi="Calibri"/>
          <w:b/>
          <w:color w:val="4A6B25"/>
          <w:sz w:val="20"/>
        </w:rPr>
        <w:t xml:space="preserve">3. </w:t>
      </w:r>
      <w:r>
        <w:rPr>
          <w:rFonts w:ascii="Calibri" w:hAnsi="Calibri"/>
          <w:b w:val="0"/>
          <w:color w:val="3A4A28"/>
          <w:sz w:val="20"/>
        </w:rPr>
        <w:t>Limited AI market exposure flagged by Jefferies as competitive weakness — unlike coastal peers capturing AI tenant demand, HIW's Sun Belt BBDs have attracted only one AI-related tenant (Dallas), missing the fastest-growing leasing segment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Highwoods' physical real estate portfolio of ~27M square feet across Sun Belt BBDs cannot be replicated or substituted by AI — buildings, leases, and tenant relationships require tangible infrastructure that is structurally immune to digital disruption [1]. Long-term office leases (typically 5-10 years) provide revenue visibility regardless of near-term technology shifts. However, Jefferies downgraded HIW to Hold specifically citing 'limited exposure to artificial intelligence hubs' — the Sun Belt footprint lacks presence in gateway AI markets (San Francisco, Seattle, Austin), meaning it captures minimal benefit from AI-driven tenant demand [2]. More broadly, AI-driven productivity tools could enable companies to house the same workforce in less physical space, creating indirect demand pressure on all office REITs. Only one AI-related tenant has been signed (Dallas). AI Opportunity (0/1): No AI-related revenue. Unlike West Coast peers benefiting from AI tenant demand and data center adjacency, HIW's Sun Belt BBD portfolio has attracted minimal AI company leasing activity to date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Highwoods Properties Q2 FY2026 Earnings — FFO $0.90/share, Revenue $216.4M, 2026 FFO Guidance Raised to $3.46-$3.70 (Midpoint $3.58), Occupancy Target 86.5-88.5%, MarketScreener/Simply Wall St, August 2026</w:t>
      </w:r>
    </w:p>
    <w:p>
      <w:pPr>
        <w:spacing w:before="20" w:after="20"/>
        <w:ind w:left="170"/>
      </w:pPr>
      <w:r>
        <w:rPr>
          <w:rFonts w:ascii="Calibri" w:hAnsi="Calibri"/>
          <w:b/>
          <w:color w:val="4A6B25"/>
          <w:sz w:val="15"/>
        </w:rPr>
        <w:t xml:space="preserve">2. </w:t>
      </w:r>
      <w:r>
        <w:rPr>
          <w:rFonts w:ascii="Calibri" w:hAnsi="Calibri"/>
          <w:b w:val="0"/>
          <w:color w:val="3A4A28"/>
          <w:sz w:val="17"/>
        </w:rPr>
        <w:t>Jefferies Downgrade of HIW to Hold — Limited AI Hub Exposure, Sun Belt-Heavy Footprint, One AI Tenant (Dallas), Investing.com, 2026</w:t>
      </w:r>
    </w:p>
    <w:p>
      <w:pPr>
        <w:spacing w:before="20" w:after="20"/>
        <w:ind w:left="170"/>
      </w:pPr>
      <w:r>
        <w:rPr>
          <w:rFonts w:ascii="Calibri" w:hAnsi="Calibri"/>
          <w:b/>
          <w:color w:val="4A6B25"/>
          <w:sz w:val="15"/>
        </w:rPr>
        <w:t xml:space="preserve">3. </w:t>
      </w:r>
      <w:r>
        <w:rPr>
          <w:rFonts w:ascii="Calibri" w:hAnsi="Calibri"/>
          <w:b w:val="0"/>
          <w:color w:val="3A4A28"/>
          <w:sz w:val="17"/>
        </w:rPr>
        <w:t>Highwoods Properties SmartPark Technology and CIO Art McCann — Parking Automation in 11 Urban Garages, Process Innovation, Realcomm,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Highwoods Properties Corporate Website — Mission ('Work-Placemaking'), Sustainability-Linked Debt, Green Lease Leader, ENERGY STAR Certifications, highwoods.com,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Highwoods Properties Employee Reviews — Glassdoor 3.4/5 Culture Rating, Leadership Adaptation Concerns,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HIW Key Statistics: Forward P/E 43.46x, Trailing P/E 20.15x, ROE 6.82%, D/E 132.6%, Profit Margin 20.1%, Stock Price $30.42, Dividend $2.00/yr (6.6% Yield),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