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HLF</w:t>
      </w:r>
      <w:r>
        <w:rPr>
          <w:rFonts w:ascii="Calibri" w:hAnsi="Calibri"/>
          <w:b/>
          <w:color w:val="1A2010"/>
          <w:sz w:val="40"/>
        </w:rPr>
        <w:t xml:space="preserve">  Herbalife Ltd.</w:t>
      </w:r>
    </w:p>
    <w:p>
      <w:pPr>
        <w:spacing w:after="120"/>
      </w:pPr>
      <w:r>
        <w:rPr>
          <w:rFonts w:ascii="Calibri" w:hAnsi="Calibri"/>
          <w:b/>
          <w:color w:val="6E8450"/>
          <w:sz w:val="18"/>
        </w:rPr>
        <w:t>GROWTH SLEEVE · 2026-09-15 · Inspire: 63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45</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Consumer Defensive · Packaged Foods · NYSE · United States</w:t>
      </w:r>
    </w:p>
    <w:p>
      <w:pPr>
        <w:spacing w:after="80"/>
      </w:pPr>
      <w:r>
        <w:rPr>
          <w:rFonts w:ascii="Calibri" w:hAnsi="Calibri"/>
          <w:b w:val="0"/>
          <w:color w:val="3A4A28"/>
          <w:sz w:val="20"/>
        </w:rPr>
        <w:t>Herbalife provides health and wellness products including meal replacements, protein shakes, targeted nutrition supplements, energy and fitness products, and personal care items. The company operates through a direct-selling model with independent distributors in over 90 markets worldwide. CEO Stephan Gratziani, the first distributor-turned-CEO, has announced his departure effective October 31, 2026. Q2 2026 revenue was $1.33B (+5.4% YoY) but the company reported a net loss of $(26.3M), a sharp reversal from $49.3M net income a year ago.</w:t>
      </w:r>
    </w:p>
    <w:p>
      <w:r>
        <w:rPr>
          <w:rFonts w:ascii="Calibri" w:hAnsi="Calibri"/>
          <w:b/>
          <w:color w:val="6E8450"/>
          <w:sz w:val="18"/>
        </w:rPr>
        <w:t>8,500 Employees · https://www.herbalife.com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Herbalife has made incremental product refreshes but no transformative business model pivots in the last 5 years; the core direct-selling nutrition model remains essentially unchanged since the 1980s, with revenue declining from $5.80B (2021) through a trough before recovering to ~$5.3B annualized in 2026 [1][2]. AI Deployment (1/2): The company launched a beta AI-assisted Pro2col app and partnered with Atrium to deploy Salesforce Einstein analytics for distributor CRM, showing early-stage AI adoption with no quantified revenue impact [3]. Herbalife acknowledges AI integration as a strategic priority but has yet to demonstrate measurable outcomes. Market Share (1/2): Herbalife is a meaningful player in global nutrition with ~$5.3B annual revenue and presence in 90+ markets, but faces intense competition from Amway, GNC, and emerging DTC brands; India and Asia Pacific continue to drive geographic share gains [1]. Pipeline (1/2): The Cristiano Ronaldo partnership with Pro2col Software ($7.5M investment, 10% equity stake) represents a notable bet on personalized nutrition technology, though the product is still in beta [3]. R&amp;D Intensity (0/1): R&amp;D spending is below industry average for consumer health companies, with focus on formulation rather than fundamental research.</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Herbalife's mission to 'make the world healthier and happier' is clear but not distinctive — it could apply to any health and wellness company and lacks the specificity that would differentiate it from peers [4]. Community Impact (1/2): The Herbalife Nutrition Foundation granted $5.12M to 178 organizations in 2022, benefiting 229,000 children worldwide through nutrition programs — meaningful but modest relative to $5B+ revenue [4]. Employee Retention (0/2): Glassdoor reviews describe inconsistent management, favoritism, and unstructured leadership. CEO Gratziani's announced departure effective October 31, 2026 adds leadership instability — this will mark the second CEO transition in a short period [3]. Reviews cite good work-life balance and belief in products but offset by management turnover and pressure. Insider Buying (0/2): No evidence of meaningful net insider buying by CEO Gratziani or other executives in the last 12 months was identified.</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metrics, excluding D/E and ROE (both incalculable due to negative stockholders' equity from aggressive buybacks). Q2 2026 delivered $1.33B net sales (+5.4% YoY), the fourth consecutive quarter of growth, but net loss of $(26.3M) versus $49.3M net income a year ago represents significant earnings deterioration [1][2]. Forward P/E of 3.91 scores 1.0, reflecting deep market discount for a company with negative equity and volatile earnings. Profit margin of 3.16% scores 0.16, thin for a company with ~78% gross margins — indicating high SG&amp;A costs inherent to the distributor model and the Q2 net loss dragging TTM profitability [2]. Revenue growth YoY of 5.4% scores 0.85. Five-year revenue CAGR remains negative at approximately -1.5% (revenue still below the 2021 peak of $5.80B) scoring 0.23 [1]. PEG ratio unavailable due to negative earnings trajectory. Liquidity floor cleared: 1.68M avg vol x $12.05 = $20.2M daily [5].</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DC2626"/>
          <w:sz w:val="28"/>
        </w:rPr>
        <w:t>3</w:t>
      </w:r>
      <w:r>
        <w:rPr>
          <w:rFonts w:ascii="Calibri" w:hAnsi="Calibri"/>
          <w:b w:val="0"/>
          <w:color w:val="9DAF88"/>
          <w:sz w:val="18"/>
        </w:rPr>
        <w:t xml:space="preserve"> /10</w:t>
      </w:r>
    </w:p>
    <w:p>
      <w:pPr>
        <w:spacing w:after="120"/>
      </w:pPr>
      <w:r>
        <w:rPr>
          <w:rFonts w:ascii="Calibri" w:hAnsi="Calibri"/>
          <w:b w:val="0"/>
          <w:color w:val="3A4A28"/>
          <w:sz w:val="18"/>
        </w:rPr>
        <w:t>Herbalife is a finite-game player clinging to a 40+ year-old MLM distribution model despite regulatory challenges (2016 FTC $200M settlement), declining revenue from the 2021 peak, and mounting competitive pressure from DTC brands. The announced CEO transition — Gratziani stepping down October 31, 2026 — adds leadership instability and raises questions about strategic continuity. The company optimizes for quarterly distributor metrics rather than building enduring competitive advantages, and the direct-selling model's inherent focus on recruitment rankings and volume targets is structurally finite.</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Herbalife's cause — improving global nutrition through community-based distribution — has elements of a Just Cause but was undermined by the 2016 FTC settlement requiring $200M in consumer redress and fundamental restructuring of the MLM compensation system for deceptive practices [4]. The cause exists but reads more as marketing than a deeply lived organizational principle; the FTC found the company's emphasis was on recruitment rather than genuine product value.</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The appointment of Gratziani, a 20-year distributor veteran, as CEO signaled trust in the field organization, but his announced departure effective October 31, 2026 introduces another leadership transition that disrupts organizational stability [3]. Glassdoor reviews describe inconsistent management quality, favoritism, unstructured leadership, and supervisory inconsistency [3]. Positive elements include employees citing good work-life balance, belief in products, and family-oriented culture. Ratings around 3.6/5 for culture are adequate but not indicative of a high-trust environment.</w:t>
      </w:r>
    </w:p>
    <w:p>
      <w:pPr>
        <w:spacing w:before="200" w:after="40"/>
      </w:pPr>
      <w:r>
        <w:rPr>
          <w:rFonts w:ascii="Calibri" w:hAnsi="Calibri"/>
          <w:b/>
          <w:color w:val="1A2010"/>
          <w:sz w:val="22"/>
        </w:rPr>
        <w:t>Worthy Rivals</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(1/1): Herbalife acknowledges competitive pressure from both traditional nutrition companies and emerging DTC/AI-powered wellness platforms, using that rivalry to invest in digital transformation (Pro2col app) and celebrity partnerships (Ronaldo) rather than fighting competitors [3]. The company's competitive language focuses on improving its own distributor experience rather than attacking rivals.</w:t>
      </w:r>
    </w:p>
    <w:p>
      <w:pPr>
        <w:spacing w:before="200" w:after="40"/>
      </w:pPr>
      <w:r>
        <w:rPr>
          <w:rFonts w:ascii="Calibri" w:hAnsi="Calibri"/>
          <w:b/>
          <w:color w:val="1A2010"/>
          <w:sz w:val="22"/>
        </w:rPr>
        <w:t>Existential Flexibility</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(0/2): Herbalife has clung to the direct-selling distribution model for over 40 years despite significant regulatory ($200M FTC settlement), reputational, and competitive pressures to evolve [4]. The company has made incremental digital additions (Pro2col app, online ordering) but has not fundamentally reimagined its go-to-market approach. This rigidity — inability to consider a DTC or retail model — is the company's greatest strategic vulnerability.</w:t>
      </w:r>
    </w:p>
    <w:p>
      <w:pPr>
        <w:spacing w:before="200" w:after="40"/>
      </w:pPr>
      <w:r>
        <w:rPr>
          <w:rFonts w:ascii="Calibri" w:hAnsi="Calibri"/>
          <w:b/>
          <w:color w:val="1A2010"/>
          <w:sz w:val="22"/>
        </w:rPr>
        <w:t>Courage To Lead</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(0/2): While the Gratziani CEO appointment was an unconventional internal move, his announced departure after less than two years signals that the experiment did not produce the expected results [3]. There is little evidence of leadership making costly long-term bets or sacrificing short-term results for future capability. Capital allocation has been defined by debt-funded share buybacks (creating negative book value of -$4.99/share) rather than strategic reinvestment in business model transformation [5].</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Herbalife at 3.91x forward earnings is a deep value proposition for contrarian investors — Q2 2026 revenue of $1.33B (+5.4% YoY) marked the fourth consecutive quarter of growth, and sell-side analysts project 2.1% revenue growth over the next 12 months [1][2]. The stock's extreme discount reflects the market pricing in structural decline of the MLM model, negative equity, and leadership uncertainty. Geographic diversification is producing results, with North America, Latin America, and Asia Pacific all posting growth [1]. The Inspire Impact Score of 63 (ALIGNED) with 17 positive ESG attributions may appeal to faith-based investors who can tolerate the business model risk. If the next CEO can accelerate digital transformation (Pro2col, AI tools) while maintaining distributor engagement, the earnings recovery path from $5B+ revenue at higher margins could produce significant upside from current depressed levels.</w:t>
      </w:r>
    </w:p>
    <w:p>
      <w:pPr>
        <w:spacing w:after="120"/>
      </w:pPr>
      <w:r>
        <w:rPr>
          <w:rFonts w:ascii="Calibri" w:hAnsi="Calibri"/>
          <w:b w:val="0"/>
          <w:color w:val="3A4A28"/>
          <w:sz w:val="20"/>
        </w:rPr>
        <w:t>The bear case is structural and multi-dimensional. Negative stockholders' equity (from aggressive buybacks) and ~$2.2B in total debt create financial fragility if the nascent revenue recovery stalls [5]. The Q2 2026 net loss of $(26.3M) versus $49.3M profit a year ago demonstrates that earnings remain volatile and unpredictable, with profit margin compressing to 3.16% [2]. CEO Gratziani's announced departure effective October 31, 2026 creates leadership vacuum at a critical inflection point — the company will be searching for direction under new leadership while executing a turnaround [3]. Revenue remains well below the 2021 peak of $5.80B, with 5-year CAGR of approximately -1.5%. The direct-selling industry faces secular headwinds from e-commerce disruption, global regulatory scrutiny, and generational shifts away from MLM models. EMEA and China remain weak growth regions despite global recovery. The 2016 FTC $200M settlement for deceptive practices remains a reputational overhang that limits brand appeal to new demographics.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Fourth consecutive quarter of YoY net sales growth in Q2 2026 ($1.33B, +5.4%), with North America, Latin America, and Asia Pacific all contributing — sustained geographic diversification could establish a durable recovery trajectory [1][2]</w:t>
      </w:r>
    </w:p>
    <w:p>
      <w:pPr>
        <w:spacing w:before="40" w:after="40"/>
        <w:ind w:left="283"/>
      </w:pPr>
      <w:r>
        <w:rPr>
          <w:rFonts w:ascii="Calibri" w:hAnsi="Calibri"/>
          <w:b/>
          <w:color w:val="4A6B25"/>
          <w:sz w:val="20"/>
        </w:rPr>
        <w:t xml:space="preserve">2. </w:t>
      </w:r>
      <w:r>
        <w:rPr>
          <w:rFonts w:ascii="Calibri" w:hAnsi="Calibri"/>
          <w:b w:val="0"/>
          <w:color w:val="3A4A28"/>
          <w:sz w:val="20"/>
        </w:rPr>
        <w:t>CEO transition by October 31, 2026 could bring fresh strategic vision — a new leader with digital commerce or DTC experience could accelerate the modernization of Herbalife's distribution model [3]</w:t>
      </w:r>
    </w:p>
    <w:p>
      <w:pPr>
        <w:spacing w:before="40" w:after="40"/>
        <w:ind w:left="283"/>
      </w:pPr>
      <w:r>
        <w:rPr>
          <w:rFonts w:ascii="Calibri" w:hAnsi="Calibri"/>
          <w:b/>
          <w:color w:val="4A6B25"/>
          <w:sz w:val="20"/>
        </w:rPr>
        <w:t xml:space="preserve">3. </w:t>
      </w:r>
      <w:r>
        <w:rPr>
          <w:rFonts w:ascii="Calibri" w:hAnsi="Calibri"/>
          <w:b w:val="0"/>
          <w:color w:val="3A4A28"/>
          <w:sz w:val="20"/>
        </w:rPr>
        <w:t>Pro2col AI-powered personalized nutrition app moving from beta to full launch, potentially modernizing the distributor toolkit and attracting younger demographics to the platform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Negative stockholders' equity and ~$2.2B debt create balance sheet fragility — Q2 2026 net loss of $(26.3M) shows earnings remain volatile, and rising interest rates or sustained revenue decline could trigger covenant concerns [2][5]</w:t>
      </w:r>
    </w:p>
    <w:p>
      <w:pPr>
        <w:spacing w:before="40" w:after="40"/>
        <w:ind w:left="283"/>
      </w:pPr>
      <w:r>
        <w:rPr>
          <w:rFonts w:ascii="Calibri" w:hAnsi="Calibri"/>
          <w:b/>
          <w:color w:val="4A6B25"/>
          <w:sz w:val="20"/>
        </w:rPr>
        <w:t xml:space="preserve">2. </w:t>
      </w:r>
      <w:r>
        <w:rPr>
          <w:rFonts w:ascii="Calibri" w:hAnsi="Calibri"/>
          <w:b w:val="0"/>
          <w:color w:val="3A4A28"/>
          <w:sz w:val="20"/>
        </w:rPr>
        <w:t>CEO Gratziani departing October 31, 2026 creates leadership vacuum during a critical turnaround phase — the second CEO transition in a short period signals strategic instability [3]</w:t>
      </w:r>
    </w:p>
    <w:p>
      <w:pPr>
        <w:spacing w:before="40" w:after="40"/>
        <w:ind w:left="283"/>
      </w:pPr>
      <w:r>
        <w:rPr>
          <w:rFonts w:ascii="Calibri" w:hAnsi="Calibri"/>
          <w:b/>
          <w:color w:val="4A6B25"/>
          <w:sz w:val="20"/>
        </w:rPr>
        <w:t xml:space="preserve">3. </w:t>
      </w:r>
      <w:r>
        <w:rPr>
          <w:rFonts w:ascii="Calibri" w:hAnsi="Calibri"/>
          <w:b w:val="0"/>
          <w:color w:val="3A4A28"/>
          <w:sz w:val="20"/>
        </w:rPr>
        <w:t>Multi-level distribution model faces secular headwinds from regulatory scrutiny, e-commerce disruption, and declining appeal of MLM to younger generations, with EMEA and China still reporting weak performance [1][2]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(6/9): Herbalife's core business — physical nutrition products consumed by customers — is fundamentally protected from AI substitution; AI cannot replace protein shakes, supplements, or meal replacements [1]. The direct-selling model relies on personal relationships and community-based wellness coaching that AI cannot fully replicate. However, AI-powered nutrition apps (Noom, AI-driven DTC brands) create moderate substitution risk for the product recommendation and coaching aspects of the distributor model. Physical product manufacturing and global distribution infrastructure remain defensible. Herbalife itself acknowledges risks related to its ability to successfully deploy and integrate AI [3]. AI Opportunity (1/1): Herbalife is deploying AI through the Pro2col beta app for personalized nutrition recommendations and Salesforce Einstein analytics for distributor CRM, showing early-stage AI-enhanced engagement that could modernize the distribution channel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63</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Business Resilience </w:t>
      </w:r>
      <w:r>
        <w:rPr>
          <w:rFonts w:ascii="Calibri" w:hAnsi="Calibri"/>
          <w:b w:val="0"/>
          <w:color w:val="9DAF88"/>
          <w:sz w:val="17"/>
        </w:rPr>
        <w:t xml:space="preserve">  ·  </w:t>
      </w:r>
      <w:r>
        <w:rPr>
          <w:rFonts w:ascii="Calibri" w:hAnsi="Calibri"/>
          <w:b/>
          <w:color w:val="16A34A"/>
          <w:sz w:val="17"/>
        </w:rPr>
        <w:t xml:space="preserve"> Customer Privacy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Environmental Risk Mitigation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Human Rights </w:t>
      </w:r>
      <w:r>
        <w:rPr>
          <w:rFonts w:ascii="Calibri" w:hAnsi="Calibri"/>
          <w:b w:val="0"/>
          <w:color w:val="9DAF88"/>
          <w:sz w:val="17"/>
        </w:rPr>
        <w:t xml:space="preserve">  ·  </w:t>
      </w:r>
      <w:r>
        <w:rPr>
          <w:rFonts w:ascii="Calibri" w:hAnsi="Calibri"/>
          <w:b/>
          <w:color w:val="16A34A"/>
          <w:sz w:val="17"/>
        </w:rPr>
        <w:t xml:space="preserve"> Low Ecological Impact </w:t>
      </w:r>
      <w:r>
        <w:rPr>
          <w:rFonts w:ascii="Calibri" w:hAnsi="Calibri"/>
          <w:b w:val="0"/>
          <w:color w:val="9DAF88"/>
          <w:sz w:val="17"/>
        </w:rPr>
        <w:t xml:space="preserve">  ·  </w:t>
      </w:r>
      <w:r>
        <w:rPr>
          <w:rFonts w:ascii="Calibri" w:hAnsi="Calibri"/>
          <w:b/>
          <w:color w:val="16A34A"/>
          <w:sz w:val="17"/>
        </w:rPr>
        <w:t xml:space="preserve"> Materials Efficiency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Safety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Waste and Hazmat Management </w:t>
      </w:r>
      <w:r>
        <w:rPr>
          <w:rFonts w:ascii="Calibri" w:hAnsi="Calibri"/>
          <w:b w:val="0"/>
          <w:color w:val="9DAF88"/>
          <w:sz w:val="17"/>
        </w:rPr>
        <w:t xml:space="preserve">  ·  </w:t>
      </w:r>
      <w:r>
        <w:rPr>
          <w:rFonts w:ascii="Calibri" w:hAnsi="Calibri"/>
          <w:b/>
          <w:color w:val="16A34A"/>
          <w:sz w:val="17"/>
        </w:rPr>
        <w:t xml:space="preserve"> Water Conservation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Herbalife Q1 2026 Earnings — $1.32B net sales (+7.8% YoY), EPS beat by 16.36%, fourth straight quarter of growth, Investing.com, May 2026</w:t>
      </w:r>
    </w:p>
    <w:p>
      <w:pPr>
        <w:spacing w:before="20" w:after="20"/>
        <w:ind w:left="170"/>
      </w:pPr>
      <w:r>
        <w:rPr>
          <w:rFonts w:ascii="Calibri" w:hAnsi="Calibri"/>
          <w:b/>
          <w:color w:val="4A6B25"/>
          <w:sz w:val="15"/>
        </w:rPr>
        <w:t xml:space="preserve">2. </w:t>
      </w:r>
      <w:r>
        <w:rPr>
          <w:rFonts w:ascii="Calibri" w:hAnsi="Calibri"/>
          <w:b w:val="0"/>
          <w:color w:val="3A4A28"/>
          <w:sz w:val="17"/>
        </w:rPr>
        <w:t>Herbalife Q2 2026 Results — Revenue $1.33B (+5.4% YoY), net loss $(26.3M), EPS $(0.25), adjusted EPS missed by 19.1%, TradingView/StockStory, August 2026</w:t>
      </w:r>
    </w:p>
    <w:p>
      <w:pPr>
        <w:spacing w:before="20" w:after="20"/>
        <w:ind w:left="170"/>
      </w:pPr>
      <w:r>
        <w:rPr>
          <w:rFonts w:ascii="Calibri" w:hAnsi="Calibri"/>
          <w:b/>
          <w:color w:val="4A6B25"/>
          <w:sz w:val="15"/>
        </w:rPr>
        <w:t xml:space="preserve">3. </w:t>
      </w:r>
      <w:r>
        <w:rPr>
          <w:rFonts w:ascii="Calibri" w:hAnsi="Calibri"/>
          <w:b w:val="0"/>
          <w:color w:val="3A4A28"/>
          <w:sz w:val="17"/>
        </w:rPr>
        <w:t>Herbalife CEO Transition — Gratziani stepping down October 31, 2026; Glassdoor employee reviews; AI strategy and Pro2col app, Kalkinemedia/Glassdoor, 2026</w:t>
      </w:r>
    </w:p>
    <w:p>
      <w:pPr>
        <w:spacing w:before="20" w:after="20"/>
        <w:ind w:left="170"/>
      </w:pPr>
      <w:r>
        <w:rPr>
          <w:rFonts w:ascii="Calibri" w:hAnsi="Calibri"/>
          <w:b/>
          <w:color w:val="4A6B25"/>
          <w:sz w:val="15"/>
        </w:rPr>
        <w:t xml:space="preserve">4. </w:t>
      </w:r>
      <w:r>
        <w:rPr>
          <w:rFonts w:ascii="Calibri" w:hAnsi="Calibri"/>
          <w:b w:val="0"/>
          <w:color w:val="3A4A28"/>
          <w:sz w:val="17"/>
        </w:rPr>
        <w:t>Herbalife Sustainability — ESG committee formation, Global Responsibility Report, $5.12M foundation grants, SASB framework, ir.herbalife.com, 2022-2026</w:t>
      </w:r>
    </w:p>
    <w:p>
      <w:pPr>
        <w:spacing w:before="20" w:after="20"/>
        <w:ind w:left="170"/>
      </w:pPr>
      <w:r>
        <w:rPr>
          <w:rFonts w:ascii="Calibri" w:hAnsi="Calibri"/>
          <w:b/>
          <w:color w:val="4A6B25"/>
          <w:sz w:val="15"/>
        </w:rPr>
        <w:t xml:space="preserve">5. </w:t>
      </w:r>
      <w:r>
        <w:rPr>
          <w:rFonts w:ascii="Calibri" w:hAnsi="Calibri"/>
          <w:b w:val="0"/>
          <w:color w:val="3A4A28"/>
          <w:sz w:val="17"/>
        </w:rPr>
        <w:t>Yahoo Finance — HLF Key Statistics: Forward P/E 3.91x, Profit Margin 3.16%, Stock Price $12.05,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