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HLNE</w:t>
      </w:r>
      <w:r>
        <w:rPr>
          <w:rFonts w:ascii="Calibri" w:hAnsi="Calibri"/>
          <w:b/>
          <w:color w:val="1A2010"/>
          <w:sz w:val="40"/>
        </w:rPr>
        <w:t xml:space="preserve">  Hamilton Lane Incorporated</w:t>
      </w:r>
    </w:p>
    <w:p>
      <w:pPr>
        <w:spacing w:after="120"/>
      </w:pPr>
      <w:r>
        <w:rPr>
          <w:rFonts w:ascii="Calibri" w:hAnsi="Calibri"/>
          <w:b/>
          <w:color w:val="6E8450"/>
          <w:sz w:val="18"/>
        </w:rPr>
        <w:t>DIVIDEND SLEEVE · 2026-10-10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NMS · United States</w:t>
      </w:r>
    </w:p>
    <w:p>
      <w:pPr>
        <w:spacing w:after="80"/>
      </w:pPr>
      <w:r>
        <w:rPr>
          <w:rFonts w:ascii="Calibri" w:hAnsi="Calibri"/>
          <w:b w:val="0"/>
          <w:color w:val="3A4A28"/>
          <w:sz w:val="20"/>
        </w:rPr>
        <w:t>Hamilton Lane is one of the largest dedicated private markets investment firms globally, founded in 1991 and headquartered in Philadelphia. The firm manages and advises on over $1 trillion across private equity, private credit, real assets, and secondaries through direct investments, fund-of-funds, co-investments, and advisory mandates. AUM of $142B and assets under advisement of $905B at fiscal 2026 year-end (March 2026). Fiscal 2026 fee-related revenue of $687M (+20% YoY) with fee-related earnings of $345M (+25% YoY).</w:t>
      </w:r>
    </w:p>
    <w:p>
      <w:r>
        <w:rPr>
          <w:rFonts w:ascii="Calibri" w:hAnsi="Calibri"/>
          <w:b/>
          <w:color w:val="6E8450"/>
          <w:sz w:val="18"/>
        </w:rPr>
        <w:t>800 Employees · https://www.hamiltonlane.com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Hamilton Lane has evolved from a traditional PE fund-of-funds advisory firm to a diversified private markets platform spanning direct investments, co-investments, direct credit, real assets, secondaries, and — critically — evergreen/semi-liquid fund structures that democratize private markets access for wealth management channels [1]. The launch of open-end, semi-liquid products represents a meaningful business model innovation that opened a new and rapidly growing revenue stream. AI Deployment (0/2): No AI-powered investment products or quantified AI-driven cost savings have been disclosed. The firm invests in its technology platform for portfolio analytics but has not announced specific AI deployments [2]. Market Share (1/2): At $142B AUM and $905B under advisement, Hamilton Lane is one of the largest independent private markets firms globally, with meaningful scale in the fund-of-funds and advisory niche. However, the firm is significantly smaller than Blackstone ($1T+ AUM), KKR, Apollo, and other diversified alternative asset managers. Product Pipeline (0/2): The firm continues to expand product categories and geographic reach, but no specific next-generation products with named launch dates or revenue projections have been disclosed. R&amp;D Intensity (0/1): Asset management firms do not typically report R&amp;D spending; Hamilton Lane invests in its technology platform but no quantified R&amp;D intensity data is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Hamilton Lane's purpose centers on providing institutional and individual investors with access to diversified private markets opportunities, managing 'more than $1 trillion on behalf of our clients' [2]. The mission clearly identifies what the firm does and for whom but does not articulate a transformative vision beyond excellent investment management. The 35-year track record demonstrates consistency of purpose but the stated mission is functional rather than inspirational. Community Impact (0/2): No specific charitable programs, community investment initiatives, or measurable social impact beyond standard corporate philanthropy has been identified for Hamilton Lane. Employee Retention (1/2): Mario Giannini's 22-year CEO tenure demonstrated exceptional leadership continuity, and the firm's promotion practices — a 'record number' of senior promotions in 2026 with 16 new Managing Directors — suggest a culture of internal development [2]. The co-CEO succession (Hirsch and Delgado-Moreira promoted from within after years of grooming) indicates the firm retains and develops senior talent. Insider Buying (0/2): No evidence of meaningful net insider buying by the co-CEOs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(yield 2.8%, 9 consecutive years of payments). Hamilton Lane's financial profile is exceptional across virtually every metric. D/E of 21.6% is well below the 70% target (score 1.0), reflecting conservative leverage with $337M cash nearly offsetting $365M debt [4]. ROE of 32.4% more than doubles the 15% target (score 1.0), demonstrating outstanding capital efficiency. Revenue growth YoY of 56.5% (quarterly) massively exceeds the 10% target (score 1.0), while the 3-year revenue CAGR of 12.8% also surpasses the target (score 1.0) [1]. Forward P/E of 11.6x is well below the 20x target (score 1.0), suggesting significant valuation discount. Profit margin of 32.1% exceeds the 20% target (score 1.0), reflecting the asset-light business model with 60.7% gross margins and 45.9% operating margins [4]. Payout ratio of 33.8% is below the 40% target (score 1.0), providing dividend safety with ample room for continued growth. Consecutive years paid and growth of 9 each score 0.9 versus the 10-year target (2x and 1x weight respectively). The 5-year dividend growth CAGR of approximately 11.7% nearly doubles the 6% target (score 1.0, 2x weight). Daily dollar volume of $56.3M provides maximum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Hamilton Lane demonstrates strong infinite-game characteristics rooted in 35 years of consistent focus on private markets investing through multiple economic cycles. Mario Giannini's 22-year CEO tenure and the deliberate multi-year succession to co-CEOs Erik Hirsch and Juan Delgado-Moreira exemplify the kind of leadership continuity and institutional stability Sinek values. The firm's culture of internal promotion and collaborative leadership (co-CEO structure, record Managing Director promotions) creates genuine organizational trust. The evolution from pure fund-of-funds advisory to a diversified platform including direct investing, co-investments, and evergreen structures shows strategic flexibility in service of a consistent purpose. The company's trillion-dollar advisory footprint was built through patient, relationship-driven growth rather than aggressive financial engineering.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Hamilton Lane has operated with a genuine and consistent cause for 35 years — providing investors with access to institutional-quality private markets opportunities that were previously available only to the largest allocators [1][2]. This purpose has been validated by decades of execution through the dot-com bust, the Global Financial Crisis, COVID, and rising rates, with each crisis leading to expanded mandates rather than strategic retreat. The firm's growth from a Philadelphia advisory shop to managing over $1 trillion reflects a purpose that is resilient and service-oriented. However, the cause — providing private markets access — is not yet 'transformative' by Sinek's highest standard; it describes an excellent service rather than a vision of a fundamentally better future.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Hamilton Lane demonstrates exceptional organizational trust. Mario Giannini served 22 years as CEO before transitioning to Executive Co-Chairman, and his successors — Co-CEOs Erik Hirsch and Juan Delgado-Moreira — were both promoted from within after being groomed for years [2]. The firm set a 'record number' of senior promotions in 2026 with 16 new Managing Directors, and Co-CEO Hirsch credited 'strong culture, standout talent' for the firm's ability to develop leaders internally. The co-CEO structure itself reflects a trust-based leadership model that distributes authority rather than concentrating it. An 800-person firm managing over $1 trillion requires deep organizational trust, and the consistent pattern of internal development, leadership continuity, and collaborative governance provides strong evidence.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Hamilton Lane competes against much larger firms — Blackstone, KKR, Apollo, Ares — and consistently positions itself through differentiation rather than size-based competition. The firm acknowledges the scale advantages of larger competitors and has carved out a distinctive advisory and analytics-driven niche rather than trying to out-raise them on capital. The co-CEOs' language focuses on the firm's unique capabilities ('managing and advising on more than $1 trillion') rather than beating competitors, reflecting an infinite mindset of playing their own game rather than trying to win someone else's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Hamilton Lane has evolved meaningfully from its origins as a pure fund-of-funds advisory firm to a diversified private markets platform spanning direct investments, co-investments, direct credit, real assets, secondaries, and evergreen/semi-liquid structures [1]. The launch of open-end, semi-liquid products for wealth management channels represents genuine strategic adaptation to democratize private markets access. The firm has also expanded geographically across Europe, Asia Pacific, and the Middle East. These changes are meaningful but incremental — the firm has not fundamentally reinvented itself or abandoned its core private markets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deliberate multi-year CEO succession from Mario Giannini (22-year tenure) to co-CEOs Hirsch and Delgado-Moreira demonstrates the kind of patient, long-term leadership planning Sinek admires [2]. The firm has maintained its fee structures and investment standards through market cycles rather than chasing short-term trends, and continued investing in team expansion and technology during downturns. The co-CEO structure was a bold governance decision that required trust. However, no single decision represents a dramatic sacrifice of near-term results for long-term capability — the firm has had the luxury of consistent growth that has not required truly painful tradeoffs.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Hamilton Lane at $85.67 with a $4.73B market cap is a premier private markets franchise trading at just 11.6x forward earnings with a 2.8% dividend yield — a compelling valuation for a firm generating 32.4% ROE, 32.1% profit margins, and 45.9% operating margins on over $1 trillion in assets managed and advised [1][4]. Fiscal 2026 demonstrated the platform's power: management and advisory fees grew 14% to $584M, fee-related revenue surged 20% to $687M, and fee-related earnings increased 25% to $345M. AUM reached $142B (+3%) and assets under advisement hit $905B (+10%), providing significant embedded fee growth as committed but undeployed capital is invested. The dividend has grown every year since the 2017 IPO at an 11.7% 5-year CAGR, with a conservative 33.8% payout ratio leaving ample room for continued increases. The firm's expansion into evergreen/semi-liquid structures positions it to capture the secular trend of wealth management channels allocating to private markets.</w:t>
      </w:r>
    </w:p>
    <w:p>
      <w:pPr>
        <w:spacing w:after="120"/>
      </w:pPr>
      <w:r>
        <w:rPr>
          <w:rFonts w:ascii="Calibri" w:hAnsi="Calibri"/>
          <w:b w:val="0"/>
          <w:color w:val="3A4A28"/>
          <w:sz w:val="20"/>
        </w:rPr>
        <w:t>The bear case centers on cyclical vulnerability and revenue volatility. The quarterly revenue swings are extreme — Q1 FY2026 revenue fell 11% YoY while a later quarter showed 56.5% growth, driven by the lumpy nature of incentive fees, retro-fees, and investment gains that supplement the more stable management fee base [1]. Total reported fiscal 2026 revenue grew only 6.5% ($759M vs. $713M) despite the 20% increase in fee-related revenue, indicating significant volatility in non-fee income. Private equity fundraising could decelerate in a rising-rate or recessionary environment, slowing AUM growth and fee generation. The stock has declined from a $95.87 fifty-day SMA to $85.67 (down 11%), suggesting near-term selling pressure. Hamilton Lane faces regulatory scrutiny risk — the SEC's ESG enforcement task force could target the firm's investment practices, and state-level anti-ESG inquiries could create compliance headwinds [3]. At 800 employees managing $1 trillion+, operational risk from key-person dependency and lean staffing is elevated, particularly given the co-CEO transition from Giannini's 22-year tenure.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Fee-related revenue compounding at 20%+ annually driven by $142B AUM and $905B under advisement, with significant embedded growth from committed but undeployed capital that generates management fees as it is invested across private equity, credit, and real assets vintages [1]</w:t>
      </w:r>
    </w:p>
    <w:p>
      <w:pPr>
        <w:spacing w:before="40" w:after="40"/>
        <w:ind w:left="283"/>
      </w:pPr>
      <w:r>
        <w:rPr>
          <w:rFonts w:ascii="Calibri" w:hAnsi="Calibri"/>
          <w:b/>
          <w:color w:val="4A6B25"/>
          <w:sz w:val="20"/>
        </w:rPr>
        <w:t xml:space="preserve">2. </w:t>
      </w:r>
      <w:r>
        <w:rPr>
          <w:rFonts w:ascii="Calibri" w:hAnsi="Calibri"/>
          <w:b w:val="0"/>
          <w:color w:val="3A4A28"/>
          <w:sz w:val="20"/>
        </w:rPr>
        <w:t>Evergreen/semi-liquid fund expansion capturing the secular trend of wealth management channels allocating 10-20% of portfolios to private markets, opening a massive addressable market beyond Hamilton Lane's traditional institutional LP base [1]</w:t>
      </w:r>
    </w:p>
    <w:p>
      <w:pPr>
        <w:spacing w:before="40" w:after="40"/>
        <w:ind w:left="283"/>
      </w:pPr>
      <w:r>
        <w:rPr>
          <w:rFonts w:ascii="Calibri" w:hAnsi="Calibri"/>
          <w:b/>
          <w:color w:val="4A6B25"/>
          <w:sz w:val="20"/>
        </w:rPr>
        <w:t xml:space="preserve">3. </w:t>
      </w:r>
      <w:r>
        <w:rPr>
          <w:rFonts w:ascii="Calibri" w:hAnsi="Calibri"/>
          <w:b w:val="0"/>
          <w:color w:val="3A4A28"/>
          <w:sz w:val="20"/>
        </w:rPr>
        <w:t>Dividend growth trajectory of 11.7% 5-year CAGR with a conservative 33.8% payout ratio — the firm can sustain double-digit dividend increases for years while EPS grows, supported by 50.5% trailing earnings growth and the asset-light, high-margin business model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volatility from lumpy incentive fees, retro-fees, and investment gains — total fiscal 2026 revenue grew only 6.5% despite 20% fee-related revenue growth, and quarterly revenue can swing from -11% to +56.5% YoY, complicating earnings visibility and valuation [1]</w:t>
      </w:r>
    </w:p>
    <w:p>
      <w:pPr>
        <w:spacing w:before="40" w:after="40"/>
        <w:ind w:left="283"/>
      </w:pPr>
      <w:r>
        <w:rPr>
          <w:rFonts w:ascii="Calibri" w:hAnsi="Calibri"/>
          <w:b/>
          <w:color w:val="4A6B25"/>
          <w:sz w:val="20"/>
        </w:rPr>
        <w:t xml:space="preserve">2. </w:t>
      </w:r>
      <w:r>
        <w:rPr>
          <w:rFonts w:ascii="Calibri" w:hAnsi="Calibri"/>
          <w:b w:val="0"/>
          <w:color w:val="3A4A28"/>
          <w:sz w:val="20"/>
        </w:rPr>
        <w:t>Private equity fundraising cyclicality — a sustained rise in interest rates or economic recession could slow LP commitments, compress fund sizes, and reduce the management and advisory fee base that drives 80%+ of Hamilton Lane's recurring revenue [3]</w:t>
      </w:r>
    </w:p>
    <w:p>
      <w:pPr>
        <w:spacing w:before="40" w:after="40"/>
        <w:ind w:left="283"/>
      </w:pPr>
      <w:r>
        <w:rPr>
          <w:rFonts w:ascii="Calibri" w:hAnsi="Calibri"/>
          <w:b/>
          <w:color w:val="4A6B25"/>
          <w:sz w:val="20"/>
        </w:rPr>
        <w:t xml:space="preserve">3. </w:t>
      </w:r>
      <w:r>
        <w:rPr>
          <w:rFonts w:ascii="Calibri" w:hAnsi="Calibri"/>
          <w:b w:val="0"/>
          <w:color w:val="3A4A28"/>
          <w:sz w:val="20"/>
        </w:rPr>
        <w:t>Regulatory and reputational risk from SEC ESG enforcement scrutiny and state-level anti-ESG inquiries — the firm acknowledges that regulators could target ESG-related investment practices and disclosures, and the 'greenwashing' risk could result in enforcement actions or LP withdrawals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Hamilton Lane's core business of managing and advising on private market investments has meaningful defensive moats against AI disruption. Private equity investing requires deep due diligence on illiquid, non-public companies; relationship-based LP fundraising and co-investment sourcing; proprietary deal flow access; and fiduciary judgment in portfolio construction across highly heterogeneous assets [3]. These activities involve complex negotiation, institutional trust, and qualitative assessment that AI cannot easily replicate. Regulatory requirements for fiduciary duty in managing pension funds, endowments, and sovereign wealth capital create additional barriers. However, AI could automate some analytical functions (portfolio analytics, manager screening, performance attribution) that currently require skilled professionals, and AI-powered quantitative strategies could eventually compete with certain private markets strategies in more liquid alternatives [3]. AI Opportunity (0/1): The firm has not quantified any AI-related revenue. Hamilton Lane invests in its technology platform for analytics and client reporting but has not announced AI-powered investment products or AI-driven cost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Hamilton Lane FY2026 Annual Results — Management Fees $584M (+14%), Fee-Related Revenue $687M (+20%), Fee-Related Earnings $345M (+25%), AUM $142B, Assets Under Advisement $905B, Nasdaq and Barchart, June 2026</w:t>
      </w:r>
    </w:p>
    <w:p>
      <w:pPr>
        <w:spacing w:before="20" w:after="20"/>
        <w:ind w:left="170"/>
      </w:pPr>
      <w:r>
        <w:rPr>
          <w:rFonts w:ascii="Calibri" w:hAnsi="Calibri"/>
          <w:b/>
          <w:color w:val="4A6B25"/>
          <w:sz w:val="15"/>
        </w:rPr>
        <w:t xml:space="preserve">2. </w:t>
      </w:r>
      <w:r>
        <w:rPr>
          <w:rFonts w:ascii="Calibri" w:hAnsi="Calibri"/>
          <w:b w:val="0"/>
          <w:color w:val="3A4A28"/>
          <w:sz w:val="17"/>
        </w:rPr>
        <w:t>Hamilton Lane Leadership — Co-CEOs Erik Hirsch and Juan Delgado-Moreira Succeeding Mario Giannini (22-Year Tenure), Record Senior Promotions 2026, Hamilton Lane News, 2023-2026</w:t>
      </w:r>
    </w:p>
    <w:p>
      <w:pPr>
        <w:spacing w:before="20" w:after="20"/>
        <w:ind w:left="170"/>
      </w:pPr>
      <w:r>
        <w:rPr>
          <w:rFonts w:ascii="Calibri" w:hAnsi="Calibri"/>
          <w:b/>
          <w:color w:val="4A6B25"/>
          <w:sz w:val="15"/>
        </w:rPr>
        <w:t xml:space="preserve">3. </w:t>
      </w:r>
      <w:r>
        <w:rPr>
          <w:rFonts w:ascii="Calibri" w:hAnsi="Calibri"/>
          <w:b w:val="0"/>
          <w:color w:val="3A4A28"/>
          <w:sz w:val="17"/>
        </w:rPr>
        <w:t>Hamilton Lane FY2023-2025 10-K Annual Reports — ESG Risk Disclosures, Fiduciary Practices, Regulatory Risk Factors, SEC Filings</w:t>
      </w:r>
    </w:p>
    <w:p>
      <w:pPr>
        <w:spacing w:before="20" w:after="20"/>
        <w:ind w:left="170"/>
      </w:pPr>
      <w:r>
        <w:rPr>
          <w:rFonts w:ascii="Calibri" w:hAnsi="Calibri"/>
          <w:b/>
          <w:color w:val="4A6B25"/>
          <w:sz w:val="15"/>
        </w:rPr>
        <w:t xml:space="preserve">4. </w:t>
      </w:r>
      <w:r>
        <w:rPr>
          <w:rFonts w:ascii="Calibri" w:hAnsi="Calibri"/>
          <w:b w:val="0"/>
          <w:color w:val="3A4A28"/>
          <w:sz w:val="17"/>
        </w:rPr>
        <w:t>Yahoo Finance — HLNE Key Statistics, Financial Data, and Market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