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HLN</w:t>
      </w:r>
      <w:r>
        <w:rPr>
          <w:rFonts w:ascii="Calibri" w:hAnsi="Calibri"/>
          <w:b/>
          <w:color w:val="1A2010"/>
          <w:sz w:val="40"/>
        </w:rPr>
        <w:t xml:space="preserve">  Haleon plc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2026-10-15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Drug Manufacturers - Specialty &amp; Generic · NYQ · United Kingdom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Haleon is the world's largest pure-play consumer healthcare company, spun off from GSK in July 2022. The company manufactures and markets oral health, pain relief, respiratory health, digestive health, and vitamins/minerals/supplements products under brands including Sensodyne, Panadol/Advil, Theraflu, Tums, and Centrum. H1 2026 revenue was GBP 5.6B (up 2.2% reported, 2.6% organic), with adjusted operating profit growing 8.2% at constant currency and adjusted diluted EPS up 12.0% to 10.3p.</w:t>
      </w:r>
    </w:p>
    <w:p>
      <w:r>
        <w:rPr>
          <w:rFonts w:ascii="Calibri" w:hAnsi="Calibri"/>
          <w:b/>
          <w:color w:val="6E8450"/>
          <w:sz w:val="18"/>
        </w:rPr>
        <w:t>24,535 Employees · https://www.haleon.com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Haleon successfully executed the demerger from GSK in July 2022, establishing itself as an independent $43B consumer health company — a significant corporate transformation, though more structural than product-innovative [1][2]. Ongoing brand refreshes and formulation improvements in oral health and pain relief are incremental rather than transformative. AI Deployment (1/2): The company has deployed AI in manufacturing operations, including automated inspection and palletising systems and AI cameras at its Suzhou plant, delivering a seven-point improvement in production equipment effectiveness in 2025 [3]. However, no AI products ship to consumers and no standalone AI revenue has been reported. Market Share (1/2): Haleon holds strong brand positions — Sensodyne is the global #1 sensitivity toothpaste, Advil/Panadol are major OTC pain brands — but the company does not dominate any single category with the kind of commanding market share (e.g., 50%+) that characterizes true leadership [1]. Product Pipeline (0/2): No specific next-generation products have been announced with launch timelines. Consumer health innovation is inherently incremental — new formulations, line extensions, geographic expansion — rather than breakthrough product development [1][3]. R&amp;D Intensity (0/1): Consumer health R&amp;D spending as a percentage of revenue is typically modest (3-5%) and below pharmaceutical industry averages. No evidence that Haleon's R&amp;D investment is top-quartile for its peer group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Haleon's stated purpose is 'delivering better everyday health with humanity' — a clear, consumer-focused mission that identifies what the company does (everyday health) and how (with humanity), but is not deeply distinctive or transformative [3]. The purpose was articulated at the 2022 demerger and has not been tested through decades of consistent execution or crisis. Community Impact (0/2): No specific community programs, charitable initiatives, or CSR dollar amounts were cited in search results beyond general sustainability commitments [4]. Employee Retention (1/2): Employee engagement score of 81% in 2024 (up 3pp YoY) suggests a stable and improving organizational culture, with the company explicitly investing in performance-based behaviours [3]. However, no specific voluntary turnover or average tenure data is available to distinguish Haleon from industry norms. Insider Buying (0/2): No evidence of meaningful net insider buying by CEO Brian McNamara or senior executives in the last 12 months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metrics. Haleon's financial profile reflects a defensive consumer health business with modest growth: D/E of 50.2% is well below the 70% target (score 1.0), and forward P/E of 15.68 is attractively below the 20 target (score 1.0) [1]. Profit margin of 14.6% scores 0.73 against the 20% target — constrained by Haleon's consumer goods cost structure relative to pure pharma peers. ROE of 10.1% scores 0.67 (2x weight) — moderate but below the 15% target, reflecting the asset-heavy consumer goods model [1]. Revenue growth of 2.2% YoY scores 0.74 against the 10% target, reflecting the inherently low-growth consumer health category with medium-term organic guidance of 3-5% [1][2]. PEG ratio of 2.17 scores 0.42 (2x weight), penalizing the stock for modest earnings growth relative to its valuation [1]. 5yr revenue CAGR excluded as the company was demerged in 2022 with only ~4 years of independent history. Daily dollar volume of $138.7M provides ample liquidity.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Haleon demonstrates limited infinite game characteristics as a company only four years into its independent existence. While the demerger from GSK required courage and the purpose statement is consumer-focused, the organization has not yet been tested through multi-decade execution, crisis, or leadership transitions. The company's competitive language focuses on market share defense and growth targets rather than endurance-oriented thinking, and its ~4-year track record is too short to validate any Just Cause claims.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Haleon's purpose — 'delivering better everyday health with humanity' — is a legitimate consumer-oriented mission but was only articulated at the July 2022 demerger from GSK [3]. It has not survived a leadership transition, market crisis, or industry disruption. The purpose is well-written but functionally interchangeable with peers like Johnson &amp; Johnson Consumer Health (now Kenvue) or Reckitt Benckiser. Sinek would note that a purpose adopted four years ago and not yet tested through adversity is a marketing statement, not a proven Just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Employee engagement at 81% (up 3pp YoY) suggests adequate organizational trust and a culture that is improving [3]. The company restructured its operating model with six Operating Units and a Chief Growth Officer, signaling empowerment of regional teams. Leadership appointments (Gerschtein as NA President, Haney as Chief R&amp;D Officer) suggest professional management. However, no specific evidence of exceptional trust, psychological safety, or employee empowerment beyond industry norms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an infinite competitive mindset. Haleon's communications frame competition with Kenvue, Reckitt, and Procter &amp; Gamble in terms of market share and category growth rather than self-improvement or learning from rivals' strengths [3][4].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Haleon is too young as an independent company to have demonstrated existential flexibility. The demerger itself was a GSK decision, not a Haleon strategic pivot [1]. Since independence, the company has executed an incremental brand management strategy without any transformative business model changes or bold bets that deviate from the established consumer health playbook.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The demerger from GSK required strategic courage to establish Haleon as a standalone company, accepting the complexity of separating shared infrastructure, R&amp;D, and distribution networks [1][2]. The creation of a Chief Growth Officer role and restructuring into six Operating Units demonstrates willingness to reshape the organization for long-term performance. However, no evidence of leadership sacrificing near-term earnings for bold long-term bets or making costly principled decisions was found.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Haleon at $9.68 with a $42.6B market cap is the world's largest pure-play consumer health company offering defensive exposure to non-cyclical OTC health demand through globally recognized brands (Sensodyne, Advil/Panadol, Centrum, Theraflu). H1 2026 delivered 2.6% organic revenue growth with adjusted operating profit up 8.2% at constant currency, demonstrating operational leverage and margin expansion [1][2]. The stock trades at 15.7x forward earnings with a 2.1% dividend yield, offering reasonable value for a predictable earnings stream with medium-term guidance of 4-6% organic revenue growth and high-single-digit operating profit expansion. The company's AI immunity — physical consumer products with established brand moats and regulatory approvals — provides portfolio resilience against technology disruption [1][3].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structural growth limitations and premium-to-growth valuation. Organic revenue growth of 2.6% in H1 2026 and 3-5% full-year guidance reflects the inherently slow-growth nature of consumer health, where category expansion is measured in low single digits and market share gains are incremental [1][2]. The PEG ratio of 2.17 indicates investors are paying a significant premium relative to the modest earnings growth rate, and the ROE of 10.1% suggests the business generates subpar returns on equity for its valuation. The company was demerged only four years ago and lacks the multi-decade independent track record to validate its strategy or culture through adversity. Cold and flu seasonality creates quarterly volatility (weak H1 2026 cough/cold sales hurt results), and currency headwinds (~1% FX drag on 2026 guidance) affect the UK-headquartered, globally-diversified business [1][2]. Haleon faces intensifying private-label competition in OTC health categories, and ESG scrutiny around plastics/packaging sustainability remains a regulatory tail risk 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Margin expansion through operational leverage — adjusted operating profit grew 8.2% on just 2.6% organic revenue growth in H1 2026, suggesting the company can compound earnings faster than revenue as manufacturing AI deployment and cost optimization programs deliver savings [1][2][3]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Geographic expansion in emerging markets — North America, China, and India showed strong Q2 2026 performance, and India's consumer health market is growing at 10%+ annually, providing a structural growth lever for Haleon's established brand portfolio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Potential dividend growth trajectory — at a 40% payout ratio and 2.1% yield with only 4 years of independent history, a multi-year dividend growth track record could reclassify Haleon as a defensive income holding and attract yield-oriented investors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Structural low-growth ceiling — consumer health category growth of 3-5% organically caps revenue upside, and at a PEG of 2.17, the stock is priced for more growth than the business can structurally deliver without acquisitions or category expansion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Private-label and generic competition — OTC health products face growing competition from store-brand alternatives in major markets (Walmart, Amazon), compressing pricing power and potentially eroding Sensodyne/Advil brand premiums over time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Currency and geopolitical headwinds — as a UK-listed company with global operations, Haleon faces persistent FX translation risk (~1% drag on 2026 guidance), and geopolitical conflicts (Middle East impact on UAE sales cited in Q2 2026) create unpredictable regional disruptions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Haleon's core business — manufacturing and selling physical consumer health products (toothpaste, pain relievers, cold medicine, vitamins) — is structurally immune to AI substitution [3][4]. Consumers need Sensodyne toothpaste and Advil tablets regardless of AI advances; these are physical goods with established brand trust, regulatory approvals (FDA/MHRA), and global distribution networks that AI cannot replicate or displace. AI could affect marketing efficiency and e-commerce channels, but the fundamental demand for OTC health products is AI-proof. The company is using AI to enhance manufacturing efficiency (automated inspection, AI cameras at Suzhou plant with 7-point improvement in equipment effectiveness) [3]. Score of 8 reflects near-IMMUNE status, docked only because AI-powered health advisory tools could theoretically shift some self-medication decisions away from branded OTC products toward generic or alternative treatments. AI Opportunity (0/1): No AI-related revenue. AI is deployed internally for manufacturing optimization but generates no direct product revenue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Haleon H1 2026 Results Release (Form 6-K Filing), SEC,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Haleon Full Year 2025 Results and 2026 Guidance (Form 6-K Filing), SEC, 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Haleon Annual Report 2025 — CEO Review, AI in Manufacturing, Employee Engagement, haleon.com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Haleon ESG Framework, Annual Report FY2025, and Form 20-F FY2025, SEC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