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HL</w:t>
      </w:r>
      <w:r>
        <w:rPr>
          <w:rFonts w:ascii="Calibri" w:hAnsi="Calibri"/>
          <w:b/>
          <w:color w:val="1A2010"/>
          <w:sz w:val="40"/>
        </w:rPr>
        <w:t xml:space="preserve">  Hecla Mining Company</w:t>
      </w:r>
    </w:p>
    <w:p>
      <w:pPr>
        <w:spacing w:after="120"/>
      </w:pPr>
      <w:r>
        <w:rPr>
          <w:rFonts w:ascii="Calibri" w:hAnsi="Calibri"/>
          <w:b/>
          <w:color w:val="6E8450"/>
          <w:sz w:val="18"/>
        </w:rPr>
        <w:t>GROWTH SLEEVE · 2026-10-03 · Inspire: 47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Precious Metals &amp; Mining · NYSE · United States</w:t>
      </w:r>
    </w:p>
    <w:p>
      <w:pPr>
        <w:spacing w:after="80"/>
      </w:pPr>
      <w:r>
        <w:rPr>
          <w:rFonts w:ascii="Calibri" w:hAnsi="Calibri"/>
          <w:b w:val="0"/>
          <w:color w:val="3A4A28"/>
          <w:sz w:val="20"/>
        </w:rPr>
        <w:t>Hecla Mining is the largest U.S. silver producer, operating Greens Creek (Alaska), Lucky Friday (Idaho), Keno Hill (Yukon) and Casa Berardi (Quebec) and holding the Libby exploration project in Montana. Q2 2026 sales were $333.9M (+52% YoY) with income from continuing operations of $118M, and the company ended the quarter debt-free with $483M in cash [1]. Rob Krcmarov became CEO in November 2024.</w:t>
      </w:r>
    </w:p>
    <w:p>
      <w:r>
        <w:rPr>
          <w:rFonts w:ascii="Calibri" w:hAnsi="Calibri"/>
          <w:b/>
          <w:color w:val="6E8450"/>
          <w:sz w:val="18"/>
        </w:rPr>
        <w:t>1,900 Employees · https://www.hecla.com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Restarted Keno Hill as a high-grade silver producer and expanded Lucky Friday, lifting record 2025 revenue to $1.4B (+53%) [1]. AI Deployment (1/2): the company states it is investing in automation, AI and geospatial analysis for extraction, but no quantified savings were found [2]. Market Share (2/2): largest U.S. silver producer with a leading domestic position in a critical-mineral supply chain [3]. Pipeline (1/2): Libby exploration and Keno Hill ramp are named, with organic growth the stated plan, though timelines are broad [2]. R&amp;D (0/1): miners carry minimal R&amp;D intensity.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Hecla defines responsible mining as transparent risk management for people, environment and communities and positions its output as critical for future supply chains, which is clear but common among miners [3]. Community Impact (1/2): reported work with Indigenous communities and a 30% reduction in Scope 1-2 emissions to 94,593 tCO2e vs a 2019 baseline, without dollar-level program data [3]. Employee Retention (0/2): Glassdoor shows 3.2/5 with only 43% recommending and complaints about mid-level management accountability [2]. Insider Buying (0/2): no net insider buying evidence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is negligible). D/E of 0.8% (1.0), ROE of 22.2% (1.0, 2x), revenue growth of 52.4% YoY (1.0), estimated 5yr revenue CAGR above 10% (1.0, 2x) and forward P/E of 16.7 (1.0) all hit targets, while profit margin of 19.2% scores 0.96 [1]. PEG unavailable and excluded. Weighted 7.96/8 gives 10, helped by a debt-free balance sheet with $483M in cash. Dollar volume of about $650M clears the liquidity floor. Note that results depend on elevated silver prices.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Hecla is a durable, century-old operator that has recently delevered and pursues organic growth, but its stated purpose is a standard responsible-mining framing and employee feedback signals trust gaps. Results are tightly tied to commodity cycles.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 responsible-mining and critical-minerals supply purpose exists but is interchangeable with peers and does not visibly drive differentiated decisions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Only 43% of Glassdoor reviewers recommend Hecla and reviews cite zero accountability in middle management, signaling a low-trust environment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rival-learning mindset; commentary is operational and price-driven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Portfolio reshaping across Alaska, Idaho, Yukon and Quebec shows evolution, but it is incremental within mining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chose an organic growth plan and eliminated debt rather than pursuing transformational M&amp;A at the top of the silver cycle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Hecla at $17.20 is the largest U.S. silver producer with record momentum: Q1 2026 revenue exceeded $411M (+100% YoY) and Q2 sales were $333.9M (+52%), adjusted EBITDA more than doubled to $199M, and the company ended Q2 debt-free with $483M in cash [1]. Forward P/E of 16.7, ROE of 22% and exposure to silver demand from AI, solar and connectivity infrastructure make it a levered way to own the cycle [2].</w:t>
      </w:r>
    </w:p>
    <w:p>
      <w:pPr>
        <w:spacing w:after="120"/>
      </w:pPr>
      <w:r>
        <w:rPr>
          <w:rFonts w:ascii="Calibri" w:hAnsi="Calibri"/>
          <w:b w:val="0"/>
          <w:color w:val="3A4A28"/>
          <w:sz w:val="20"/>
        </w:rPr>
        <w:t>The bear case is that earnings are a function of silver prices: Q2 income fell to $118M from $165M in Q1 and revenue dropped sequentially from $411M to $334M, evidence of volatility [1]. Mine-level operating risk (shafts, safety, permitting for Libby and Keno Hill), mixed employee sentiment (43% recommend), and cyber exposure amplified by generative AI add idiosyncratic risk [2]. Shares trade below the 50-day average of $18.25.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Silver price strength supported by AI, solar and connectivity demand lifting realized margins [2]</w:t>
      </w:r>
    </w:p>
    <w:p>
      <w:pPr>
        <w:spacing w:before="40" w:after="40"/>
        <w:ind w:left="283"/>
      </w:pPr>
      <w:r>
        <w:rPr>
          <w:rFonts w:ascii="Calibri" w:hAnsi="Calibri"/>
          <w:b/>
          <w:color w:val="4A6B25"/>
          <w:sz w:val="20"/>
        </w:rPr>
        <w:t xml:space="preserve">2. </w:t>
      </w:r>
      <w:r>
        <w:rPr>
          <w:rFonts w:ascii="Calibri" w:hAnsi="Calibri"/>
          <w:b w:val="0"/>
          <w:color w:val="3A4A28"/>
          <w:sz w:val="20"/>
        </w:rPr>
        <w:t>Debt-free balance sheet with $483M cash funding organic growth at Keno Hill, Lucky Friday and Libby exploration [1]</w:t>
      </w:r>
    </w:p>
    <w:p>
      <w:pPr>
        <w:spacing w:before="40" w:after="40"/>
        <w:ind w:left="283"/>
      </w:pPr>
      <w:r>
        <w:rPr>
          <w:rFonts w:ascii="Calibri" w:hAnsi="Calibri"/>
          <w:b/>
          <w:color w:val="4A6B25"/>
          <w:sz w:val="20"/>
        </w:rPr>
        <w:t xml:space="preserve">3. </w:t>
      </w:r>
      <w:r>
        <w:rPr>
          <w:rFonts w:ascii="Calibri" w:hAnsi="Calibri"/>
          <w:b w:val="0"/>
          <w:color w:val="3A4A28"/>
          <w:sz w:val="20"/>
        </w:rPr>
        <w:t>Continued emissions reductions (30% below 2019) and Indigenous community partnerships improving social license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Silver and gold price volatility: sequential Q2 revenue decline of about 19% and income decline of about 28% versus Q1 2026 [1]</w:t>
      </w:r>
    </w:p>
    <w:p>
      <w:pPr>
        <w:spacing w:before="40" w:after="40"/>
        <w:ind w:left="283"/>
      </w:pPr>
      <w:r>
        <w:rPr>
          <w:rFonts w:ascii="Calibri" w:hAnsi="Calibri"/>
          <w:b/>
          <w:color w:val="4A6B25"/>
          <w:sz w:val="20"/>
        </w:rPr>
        <w:t xml:space="preserve">2. </w:t>
      </w:r>
      <w:r>
        <w:rPr>
          <w:rFonts w:ascii="Calibri" w:hAnsi="Calibri"/>
          <w:b w:val="0"/>
          <w:color w:val="3A4A28"/>
          <w:sz w:val="20"/>
        </w:rPr>
        <w:t>Operational and permitting risk at underground mines and the Libby project in Montana [2]</w:t>
      </w:r>
    </w:p>
    <w:p>
      <w:pPr>
        <w:spacing w:before="40" w:after="40"/>
        <w:ind w:left="283"/>
      </w:pPr>
      <w:r>
        <w:rPr>
          <w:rFonts w:ascii="Calibri" w:hAnsi="Calibri"/>
          <w:b/>
          <w:color w:val="4A6B25"/>
          <w:sz w:val="20"/>
        </w:rPr>
        <w:t xml:space="preserve">3. </w:t>
      </w:r>
      <w:r>
        <w:rPr>
          <w:rFonts w:ascii="Calibri" w:hAnsi="Calibri"/>
          <w:b w:val="0"/>
          <w:color w:val="3A4A28"/>
          <w:sz w:val="20"/>
        </w:rPr>
        <w:t>Weak employee sentiment (3.2/5 Glassdoor, 43% recommend) and cybersecurity risk amplified by generative AI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Hecla extracts physical silver, gold, lead and zinc underground, which is structurally immune to AI substitution, and AI-driven data center, solar and connectivity buildout is cited as increasing silver demand [2]. The only AI risk found is amplified cyber-attack exposure of IT systems from generative AI, listed in company risk factors [2]. AI Opportunity (0/1): no AI revenue; AI is used only as an internal efficiency tool.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Hecla Q1 2026 Results (Business Wire, May 5, 2026) and Q2 2026 Form 10-Q, SEC, August 2026</w:t>
      </w:r>
    </w:p>
    <w:p>
      <w:pPr>
        <w:spacing w:before="20" w:after="20"/>
        <w:ind w:left="170"/>
      </w:pPr>
      <w:r>
        <w:rPr>
          <w:rFonts w:ascii="Calibri" w:hAnsi="Calibri"/>
          <w:b/>
          <w:color w:val="4A6B25"/>
          <w:sz w:val="15"/>
        </w:rPr>
        <w:t xml:space="preserve">2. </w:t>
      </w:r>
      <w:r>
        <w:rPr>
          <w:rFonts w:ascii="Calibri" w:hAnsi="Calibri"/>
          <w:b w:val="0"/>
          <w:color w:val="3A4A28"/>
          <w:sz w:val="17"/>
        </w:rPr>
        <w:t>Glassdoor Hecla Mining reviews; Hecla CEO appointment (Mining News North, Nov 2024); Hecla risk factors via TipRanks; Mining Forum Americas 2026 commentary</w:t>
      </w:r>
    </w:p>
    <w:p>
      <w:pPr>
        <w:spacing w:before="20" w:after="20"/>
        <w:ind w:left="170"/>
      </w:pPr>
      <w:r>
        <w:rPr>
          <w:rFonts w:ascii="Calibri" w:hAnsi="Calibri"/>
          <w:b/>
          <w:color w:val="4A6B25"/>
          <w:sz w:val="15"/>
        </w:rPr>
        <w:t xml:space="preserve">3. </w:t>
      </w:r>
      <w:r>
        <w:rPr>
          <w:rFonts w:ascii="Calibri" w:hAnsi="Calibri"/>
          <w:b w:val="0"/>
          <w:color w:val="3A4A28"/>
          <w:sz w:val="17"/>
        </w:rPr>
        <w:t>Hecla 2025 Sustainability Report (Business Wire, May 4, 2026) and Simply Wall St ESG coverage,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