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HMC</w:t>
      </w:r>
      <w:r>
        <w:rPr>
          <w:rFonts w:ascii="Calibri" w:hAnsi="Calibri"/>
          <w:b/>
          <w:color w:val="1A2010"/>
          <w:sz w:val="40"/>
        </w:rPr>
        <w:t xml:space="preserve">  Honda Motor Company, Ltd.</w:t>
      </w:r>
    </w:p>
    <w:p>
      <w:pPr>
        <w:spacing w:after="120"/>
      </w:pPr>
      <w:r>
        <w:rPr>
          <w:rFonts w:ascii="Calibri" w:hAnsi="Calibri"/>
          <w:b/>
          <w:color w:val="6E8450"/>
          <w:sz w:val="18"/>
        </w:rPr>
        <w:t>DIVIDEND SLEEVE · 2026-09-24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Manufacturers · NYSE · Japan</w:t>
      </w:r>
    </w:p>
    <w:p>
      <w:pPr>
        <w:spacing w:after="80"/>
      </w:pPr>
      <w:r>
        <w:rPr>
          <w:rFonts w:ascii="Calibri" w:hAnsi="Calibri"/>
          <w:b w:val="0"/>
          <w:color w:val="3A4A28"/>
          <w:sz w:val="20"/>
        </w:rPr>
        <w:t>Honda Motor Co., Ltd. develops, manufactures, and distributes motorcycles, automobiles, power products, and aircraft globally. Operating through Motorcycle, Automobile, Financial Services, and Power Product segments, Honda is the world's largest motorcycle manufacturer and a top-10 global automaker. FY2026 (ended March 2026) saw record motorcycle profits of JPY731.9B offset by a JPY1.4T automobile operating loss from EV investments and tariff impacts. Q1 FY2027 (ended June 2026) showed strong recovery with revenue up 13.5% and a return to profitability. The company has pivoted from a 100% EV target to a hybrid-focused strategy with the Honda 0 Series (7 EV models planned for 2030). Headquartered in Minato City, Tokyo, Japan.</w:t>
      </w:r>
    </w:p>
    <w:p>
      <w:r>
        <w:rPr>
          <w:rFonts w:ascii="Calibri" w:hAnsi="Calibri"/>
          <w:b/>
          <w:color w:val="6E8450"/>
          <w:sz w:val="18"/>
        </w:rPr>
        <w:t>195,109 Employees · https://global.honda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Honda's diversification across motorcycles, automobiles, power products, and aviation (HondaJet) demonstrates multi-decade innovation, with the motorcycle business achieving record unit sales and operating profit of JPY731.9B in FY2026 [1]. The HondaJet remains a successful niche product. However, the EV transition has produced a JPY1.4T automobile operating loss in FY2026 from EV-related investments and tariffs, and the dissolution of the GM EV partnership forced a costly strategic reset. The Q1 FY2027 recovery (revenue up 13.5%, return to profitability) suggests the hybrid pivot may be stabilizing the business [1][2]. AI Deployment (1/2): Honda is deploying AI for vehicle safety, user experience, and manufacturing optimization through generative AI initiatives. SAP SuccessFactors AI implementation for HR processes. However, no specific AI products with quantified revenue or customer-facing savings have been publicly reported [2]. Market Share (1/2): Honda is the world's largest motorcycle manufacturer with record FY2026 sales. In automobiles, Honda is a top-10 global manufacturer but has lost ground in the EV transition, with Chinese competitors (BYD) capturing share in key Asian markets [1]. Pipeline (1/2): The Honda 0 Series features 7 EV models planned for launch by 2030, with a purpose-built EV architecture. The company has also refocused on hybrids where it has existing manufacturing expertise [2]. However, the retreat from 100% EV leaves timelines uncertain. R&amp;D Intensity (1/1): Honda's R&amp;D spending at approximately 5.5% of revenue is above industry average for automakers, reflecting sustained investment in EV, hydrogen fuel cell, and autonomous driving technologies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Honda's founding philosophy — 'The Power of Dreams' — is specific, distinctive, and has guided the company from motorcycles to automobiles to aircraft to robotics over 75+ years [2]. The mission connects products to human aspiration and freedom of mobility, validated by decades of diversified innovation under multiple CEO tenures. It falls short of a perfect 4 because the current strategic retreat from EV ambitions and JPY1.4T automobile losses have somewhat disconnected the mission from current execution [1]. Community Impact (1/2): Honda publishes comprehensive ESG reports annually (Honda ESG Report 2026 released June 2026), committed to carbon neutrality by 2050, and has maintained environmental initiatives since the 1960s [3]. Governance structure has been reassessed to ensure bold and transparent decision-making. Specific philanthropic dollar amounts are not prominently disclosed. Employee Retention (0/2): Decision-making described as consensus-driven and process-heavy, which can feel political. Leadership experience varies by role and facility, suggesting cultural fragmentation across the 195,000-person global workforce [2]. No specific retention metrics or above-average tenure data identified. Insider Buying (1/2): Management share ownership is stable in the Japanese corporate governance framework. Neutral insider activity — no significant net buying or selling reported in recent quarters.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metrics with Forward P/E and payout ratio excluded (Forward P/E unavailable, payout ratio unreliable with negative trailing earnings). D/E of 113.8% is manageable for a capital-intensive manufacturer with a large financial services subsidiary, scoring 0.81 [4]. ROE of -0.76% is at floor (score 0.0), reflecting the JPY424B net loss in FY2026 driven by EV-related write-downs and tariff impacts, though Q1 FY2027 showed return to profitability [1][4]. Revenue growth YoY of 13.5% (Q1 FY2027 recovery) exceeds the 10% target, scoring 1.0 [1]. 5-year revenue CAGR of approximately 10% scores 1.0 [1]. Profit margin of -0.75% is at floor (score 0.0) [4]. Dividend metrics anchor the score: 15 consecutive years paid since 2011 (1.0, 2x weight), 5 consecutive years of dividend growth in JPY terms through FY2025 (0.50, 1x weight), estimated 5-year dividend growth CAGR of 12% (1.0, 2x weight) [4]. Weighted sum 7.31/10 = 7. Liquidity adequate with ~1.1M ADR shares/day at $32 ($36M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Honda exhibits a mixed infinite-game mindset grounded in founder Soichiro Honda's enduring 'Power of Dreams' philosophy. The 75-year heritage, diversification from motorcycles to aircraft, and record motorcycle performance demonstrate infinite orientation. However, the JPY1.4T automobile operating loss from failed EV investments, the GM partnership dissolution, cultural fragmentation across 195,000 employees, and the strategic retreat from 100% EV to hybrid focus suggest the company is playing defensively — reacting to competitive pressure rather than advancing a cause. The Q1 FY2027 recovery signals potential stabilization.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Honda's 'Power of Dreams' philosophy, established by founder Soichiro Honda, represents a genuine cause that has guided the company through multiple industry transformations over 75+ years — from motorcycles to automobiles to ASIMO robotics to HondaJet aircraft [2]. The vision of advancing human mobility and aspiration is specific, enduring, and has demonstrably shaped strategic decisions across generations. However, the massive FY2026 EV losses and the retreat from 100% EV to a hybrid-focused strategy suggest recent decisions are driven by financial pressure rather than cause advancement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indicates cultural challenges across Honda's global workforce. Decision-making is described as consensus-driven and process-heavy, which can feel political depending on the team [2]. Leadership experience is characterized as role- and facility-dependent, suggesting fragmentation across the 195,000-person global workforce. Honda's historically empowering 'waigaya' (open debate) culture appears inconsistent in practice. For a company built on Soichiro Honda's philosophy of challenging the establishment through employee empowerment, this cultural fragmentation is concerning.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Honda has historically demonstrated an infinite competitive mindset, using Toyota's hybrid dominance and manufacturing discipline as motivation to improve rather than to defeat. In the EV era, Honda acknowledges Tesla's software capabilities and Chinese EV makers' cost advantages as competitive benchmarks that push Honda to innovate [2]. The decision to partner with GM (now dissolved) and consider other alliances reflects willingness to learn from competitors rather than insist on going it alone. Management frames the competitive landscape as catalysts for Honda's own evolution.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Honda has demonstrated incremental strategic flexibility throughout its history — diversifying from motorcycles into automobiles, power products, and aviation (HondaJet), and adapting its EV strategy from full electrification to a hybrid-focused approach with the 0 Series platform [1][2]. The pivot toward hybrids represents meaningful strategic adaptation. However, Honda has never truly abandoned a core business — the changes are evolutionary (adding new segments) rather than transformative (reinventing the company), and the EV pivot was driven by necessity rather than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Toshihiro Mibe acknowledged the EV strategy's failures transparently, reporting the full JPY414.3B consolidated operating loss rather than obscuring it, and pivoted decisively toward hybrids when the industry consensus still favored full electrification [1][2]. The decision to invest JPY5 trillion in electrification through 2030 while maintaining the dividend demonstrates commitment to long-term transformation. However, the pivot from 100% EV to 40% EV reads more as a strategic retreat forced by losses than a courageous proactive choice, and the GM partnership dissolution was reactive.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Honda's Q1 FY2027 (ended June 2026) showed strong recovery with revenue up 13.5% to JPY6.06T and a return to profitability (JPY451B net income) after the massive FY2026 losses, suggesting the hybrid-focused strategic pivot is beginning to stabilize the business [1]. The motorcycle business continues to deliver record performance, providing a durable cash flow engine to fund the automobile transformation. At $32.15 with a 4.14% dividend yield backed by 15 consecutive years of payments and an estimated 12% 5-year growth CAGR, Honda offers income investors a vehicle tied to one of the world's most recognized industrial brands [4]. The JPY21.8T revenue base and 195,000-person global workforce across four continents provide diversification that pure-play EV competitors lack. Honda's 'Power of Dreams' heritage, 75-year track record of innovation across motorcycles, automobiles, and aviation, and the MSCI ESG A rating underscore institutional resilience [3].</w:t>
      </w:r>
    </w:p>
    <w:p>
      <w:pPr>
        <w:spacing w:after="120"/>
      </w:pPr>
      <w:r>
        <w:rPr>
          <w:rFonts w:ascii="Calibri" w:hAnsi="Calibri"/>
          <w:b w:val="0"/>
          <w:color w:val="3A4A28"/>
          <w:sz w:val="20"/>
        </w:rPr>
        <w:t>The bear case remains substantial despite the Q1 FY2027 recovery. FY2026 reported a consolidated operating loss of JPY414.3B, a JPY1.63T deterioration from the prior year's JPY1.21T operating profit, driven by JPY1.4T in automobile EV investment losses and tariff headwinds [1]. Trailing ROE of -0.76% and profit margin of -0.75% indicate the company destroyed capital in the most recent annual period, and full recovery to normalized profitability will require multiple quarters of sustained improvement. The pivot from 100% EV to 40% EV by 2030, while pragmatic, signals that Honda's original EV strategy failed at enormous cost, and the Honda 0 Series faces execution risk against established EV competitors (Tesla, BYD, Hyundai) [2]. Chinese EV makers are aggressively targeting Honda's traditional Southeast Asian and European markets with lower-priced alternatives. Cultural fragmentation across the 195,000-person workforce raises organizational execution risk during the most critical transformation in Honda's history. The Inspire Impact Score of -49 (MISALIGNED) may limit allocation for faith-based investors. Forward P/E is unavailable due to negative trailing earnings, making valuation assessment difficult.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Q1 FY2027 profit recovery (JPY451B net income, revenue +13.5%) demonstrates the hybrid-focused strategy is stabilizing automobile operations after the JPY1.4T FY2026 loss — sustained quarterly profitability would normalize the P/E and signal the worst is over [1]</w:t>
      </w:r>
    </w:p>
    <w:p>
      <w:pPr>
        <w:spacing w:before="40" w:after="40"/>
        <w:ind w:left="283"/>
      </w:pPr>
      <w:r>
        <w:rPr>
          <w:rFonts w:ascii="Calibri" w:hAnsi="Calibri"/>
          <w:b/>
          <w:color w:val="4A6B25"/>
          <w:sz w:val="20"/>
        </w:rPr>
        <w:t xml:space="preserve">2. </w:t>
      </w:r>
      <w:r>
        <w:rPr>
          <w:rFonts w:ascii="Calibri" w:hAnsi="Calibri"/>
          <w:b w:val="0"/>
          <w:color w:val="3A4A28"/>
          <w:sz w:val="20"/>
        </w:rPr>
        <w:t>Motorcycle business resilience with record operating profit of JPY731.9B providing cash flow stability and an earnings floor to fund the automobile turnaround and EV transition through 2030 [1]</w:t>
      </w:r>
    </w:p>
    <w:p>
      <w:pPr>
        <w:spacing w:before="40" w:after="40"/>
        <w:ind w:left="283"/>
      </w:pPr>
      <w:r>
        <w:rPr>
          <w:rFonts w:ascii="Calibri" w:hAnsi="Calibri"/>
          <w:b/>
          <w:color w:val="4A6B25"/>
          <w:sz w:val="20"/>
        </w:rPr>
        <w:t xml:space="preserve">3. </w:t>
      </w:r>
      <w:r>
        <w:rPr>
          <w:rFonts w:ascii="Calibri" w:hAnsi="Calibri"/>
          <w:b w:val="0"/>
          <w:color w:val="3A4A28"/>
          <w:sz w:val="20"/>
        </w:rPr>
        <w:t>Honda 0 Series EV platform launch with 7 purpose-built models targeting 40% of global auto sales as EVs and 2M annual units by 2030, combined with hybrid vehicle strength where Honda has existing manufacturing expertise and customer demand is shifting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automobile operating loss of JPY1.4T demonstrates massive EV transition execution failure — recovery to sustained profitability requires successful 0 Series launch, cost restructuring, and favorable tariff resolution, any of which could fail independently [1]</w:t>
      </w:r>
    </w:p>
    <w:p>
      <w:pPr>
        <w:spacing w:before="40" w:after="40"/>
        <w:ind w:left="283"/>
      </w:pPr>
      <w:r>
        <w:rPr>
          <w:rFonts w:ascii="Calibri" w:hAnsi="Calibri"/>
          <w:b/>
          <w:color w:val="4A6B25"/>
          <w:sz w:val="20"/>
        </w:rPr>
        <w:t xml:space="preserve">2. </w:t>
      </w:r>
      <w:r>
        <w:rPr>
          <w:rFonts w:ascii="Calibri" w:hAnsi="Calibri"/>
          <w:b w:val="0"/>
          <w:color w:val="3A4A28"/>
          <w:sz w:val="20"/>
        </w:rPr>
        <w:t>Accelerating Chinese EV competition in Southeast Asia and Europe threatens Honda's traditional export markets, with BYD and other Chinese OEMs offering lower-priced vehicles with competitive technology while Honda's EV lineup remains pre-launch [2]</w:t>
      </w:r>
    </w:p>
    <w:p>
      <w:pPr>
        <w:spacing w:before="40" w:after="40"/>
        <w:ind w:left="283"/>
      </w:pPr>
      <w:r>
        <w:rPr>
          <w:rFonts w:ascii="Calibri" w:hAnsi="Calibri"/>
          <w:b/>
          <w:color w:val="4A6B25"/>
          <w:sz w:val="20"/>
        </w:rPr>
        <w:t xml:space="preserve">3. </w:t>
      </w:r>
      <w:r>
        <w:rPr>
          <w:rFonts w:ascii="Calibri" w:hAnsi="Calibri"/>
          <w:b w:val="0"/>
          <w:color w:val="3A4A28"/>
          <w:sz w:val="20"/>
        </w:rPr>
        <w:t>Cultural fragmentation across 195,000 global employees with consensus-driven decision-making and facility-dependent leadership quality creates execution risk during the most significant strategic transformation in Honda's 75-year history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Honda's core manufacturing operations — building motorcycles, automobiles, aircraft, and power products — involve physical-world processes that AI cannot directly replace [1]. The motorcycle business (record JPY731.9B operating profit) is near-immune to AI disruption since personal motorcycle use is driven by transportation needs and recreation. Regulatory requirements (crash testing, emissions standards, dealer licensing), brand value, and physical manufacturing infrastructure create meaningful defensive moats. However, the automobile industry faces significant AI-driven competitive pressure: Tesla's Full Self-Driving, Chinese EV makers with advanced ADAS, and software-defined vehicle platforms are shifting value from hardware to software [2]. Autonomous driving and mobility-as-a-service platforms could reduce private vehicle ownership over time. Honda's AI and autonomous driving capabilities lag leaders like Tesla and Waymo. AI Opportunity (0/1): Honda does not generate meaningful revenue from AI products or services. Its AI investments in vehicle safety, manufacturing optimization, and generative AI for HR processes are internal efficiency tools, not revenue-generating AI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Honda Motor FY2026 Consolidated Financial Results (ended March 31, 2026) and Q1 FY2027 Results (ended June 30, 2026) — FY2026: Revenue JPY21.8T (+0.5%), Operating Loss JPY414.3B, Motorcycle Record JPY731.9B Profit; Q1 FY2027: Revenue JPY6.06T (+13.5%), Net Income JPY451B, SEC 20-F / Morningstar / Investing.com, May-August 2026</w:t>
      </w:r>
    </w:p>
    <w:p>
      <w:pPr>
        <w:spacing w:before="20" w:after="20"/>
        <w:ind w:left="170"/>
      </w:pPr>
      <w:r>
        <w:rPr>
          <w:rFonts w:ascii="Calibri" w:hAnsi="Calibri"/>
          <w:b/>
          <w:color w:val="4A6B25"/>
          <w:sz w:val="15"/>
        </w:rPr>
        <w:t xml:space="preserve">2. </w:t>
      </w:r>
      <w:r>
        <w:rPr>
          <w:rFonts w:ascii="Calibri" w:hAnsi="Calibri"/>
          <w:b w:val="0"/>
          <w:color w:val="3A4A28"/>
          <w:sz w:val="17"/>
        </w:rPr>
        <w:t>Honda Motor Leadership, EV Strategy Pivot, AI Innovation — CEO Toshihiro Mibe, Honda 0 Series (7 EV Models by 2030), Hybrid Refocus, SAP AI Implementation, Consensus-Driven Culture, CEOInsightsAsia / SAP / CIO / Honda Global, 2025-2026</w:t>
      </w:r>
    </w:p>
    <w:p>
      <w:pPr>
        <w:spacing w:before="20" w:after="20"/>
        <w:ind w:left="170"/>
      </w:pPr>
      <w:r>
        <w:rPr>
          <w:rFonts w:ascii="Calibri" w:hAnsi="Calibri"/>
          <w:b/>
          <w:color w:val="4A6B25"/>
          <w:sz w:val="15"/>
        </w:rPr>
        <w:t xml:space="preserve">3. </w:t>
      </w:r>
      <w:r>
        <w:rPr>
          <w:rFonts w:ascii="Calibri" w:hAnsi="Calibri"/>
          <w:b w:val="0"/>
          <w:color w:val="3A4A28"/>
          <w:sz w:val="17"/>
        </w:rPr>
        <w:t>Honda ESG Report 2026 — Carbon Neutrality 2050 Target, Governance Restructuring, MSCI ESG Rating A, Honda Global / Nasdaq / KnowESG, June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HMC Key Statistics: D/E 113.8%, ROE -0.76%, Profit Margin -0.75%, Dividend Yield 4.14%, Revenue Growth 13.5%, Stock Price $32.15,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