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HOG</w:t>
      </w:r>
      <w:r>
        <w:rPr>
          <w:rFonts w:ascii="Calibri" w:hAnsi="Calibri"/>
          <w:b/>
          <w:color w:val="1A2010"/>
          <w:sz w:val="40"/>
        </w:rPr>
        <w:t xml:space="preserve">  Harley-Davidson, Inc.</w:t>
      </w:r>
    </w:p>
    <w:p>
      <w:pPr>
        <w:spacing w:after="120"/>
      </w:pPr>
      <w:r>
        <w:rPr>
          <w:rFonts w:ascii="Calibri" w:hAnsi="Calibri"/>
          <w:b/>
          <w:color w:val="6E8450"/>
          <w:sz w:val="18"/>
        </w:rPr>
        <w:t>DIVIDEND SLEEVE · 2026-09-01 · Inspire: 34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Recreational Vehicles · NYSE · United States</w:t>
      </w:r>
    </w:p>
    <w:p>
      <w:pPr>
        <w:spacing w:after="80"/>
      </w:pPr>
      <w:r>
        <w:rPr>
          <w:rFonts w:ascii="Calibri" w:hAnsi="Calibri"/>
          <w:b w:val="0"/>
          <w:color w:val="3A4A28"/>
          <w:sz w:val="20"/>
        </w:rPr>
        <w:t>Harley-Davidson is an iconic American motorcycle manufacturer founded in 1903, producing heavyweight cruiser and touring motorcycles. The company operates through three segments: Harley-Davidson Motor Company (HDMC), Harley-Davidson Financial Services (HDFS), and LiveWire (electric motorcycles). Under new CEO Artie Starrs (ex-Topgolf), the company unveiled its 'Back to the Bricks' strategic plan, relaunching the Sportster and Sprint lines and targeting mid-single-digit retail CAGR with $150M in cost reductions through 2028. Q1 2026 delivered $1.17B revenue with 14% North American retail growth and 8.1% global retail growth. Operates the Harley Owners Group (H.O.G.) with 1M+ members worldwide.</w:t>
      </w:r>
    </w:p>
    <w:p>
      <w:r>
        <w:rPr>
          <w:rFonts w:ascii="Calibri" w:hAnsi="Calibri"/>
          <w:b/>
          <w:color w:val="6E8450"/>
          <w:sz w:val="18"/>
        </w:rPr>
        <w:t>5,500 Employees · https://www.harley-davidson.com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Harley-Davidson's 'Back to the Bricks' strategy relaunches the Sportster and Sprint lines targeting the mid-weight segment, with a mid-single-digit retail CAGR target and $225M in medium-term profitability benefits [1]. LiveWire generated only $5M quarterly revenue with a $70-80M annual operating loss -- an expensive electric bet with minimal traction [1]. The core HDMC segment saw only -2% revenue decline on -3% wholesale shipments in Q1 2026, demonstrating stability but no transformative products. AI Deployment (0/2): No evidence of AI-powered products shipping or quantified AI-driven cost savings. The appointment of a Chief Marketing and Technology Officer signals intent, but no specific AI deployment results have been disclosed [2]. Market Share (1/2): Harley-Davidson remains the dominant brand in U.S. heavyweight motorcycles, with Q1 2026 showing 14% North American retail sales growth and 8.1% global retail growth to 33,500 units [1]. However, retail gains were partially supported by dealer inventory realignment, and global share continues eroding as younger riders gravitate toward Royal Enfield, Indian, and Honda. Product Pipeline (0/2): The Sportster and Sprint relaunches represent product line refreshes rather than genuinely new platforms. FY2026 guides 130K-135K retail units, and shipments fell 3.4% as dealers realign inventories -- no breakthrough product launches are on the horizon [1]. R&amp;D Intensity (1/1): LiveWire investment and $175-200M guided capital expenditures demonstrate R&amp;D spending above recreational vehicle peers, funding electrification and platform development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Harley-Davidson's purpose -- 'More than building machines, we stand for the timeless pursuit of adventure. Freedom for the soul.' -- is genuinely distinctive, deeply embedded in American culture, and has guided the brand for over 120 years [3]. Few companies achieve this level of emotional and cultural connection with their customers. The brand IS the identity for millions of riders worldwide. Community Impact (2/2): The Harley Owners Group (H.O.G.) has over 1 million members globally and represents one of the most successful brand communities in business history. Charity rides, the H-D Foundation supporting education and health, dealership events, and the Supplier Diversity program supporting minority-owned businesses generate significant community impact [3]. Employee Retention (0/2): Significant leadership instability -- CEO Artie Starrs, CFO/CCO Jonathan Root, COO Bryan Niketh, and CMO/CTO Matt Ryan are all recent appointments, representing near-total C-suite turnover [2]. Glassdoor reviews describe leadership as 'non-existent' with some noting a 'toxic workplace environment where leaders care more about people at the top,' though others praise the culture and cross-functional team opportunities [4]. Insider Buying (0/2): No evidence of meaningful net insider buying. The company executed $128M in share buybacks in Q1 2026, but these are corporate repurchases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D/E of 74% is near the 70% target (score 0.98), reflecting the HDFS loan book sale that reduced financial leverage [5]. Forward P/E of 20.52 improved from 27.61 as earnings outlook stabilized under the 'Back to the Bricks' strategy (score 0.99) [5]. However, ROE of 6.09% is well below the 15% target (score 0.41), profit margin of 4.78% is thin versus the 20% target (score 0.24), revenue declined 14% in FY2025 (score 0.20), and the 5-year revenue CAGR of approximately -4.4% barely registers above the -5% floor (score 0.04) [5]. Dividend metrics provide modest support: payout ratio of 42.21% (score 0.96), 5 consecutive years paid and growth since resumption post-COVID (score 0.50 each), and 5-year dividend growth CAGR of ~3.5% (score 0.58) [5]. Liquidity floor passed: 1.78M avg volume x $27.60 = $49.0M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Harley-Davidson possesses one of the most authentic brand purposes in corporate America -- freedom and adventure -- validated by 120+ years of consistent brand identity and a fiercely loyal rider community. The 'Back to the Bricks' strategy under CEO Artie Starrs represents a more coherent long-term vision than the previous 'transition year' framing, showing some courage to invest through difficulty. However, the 2024 DEI policy reversal under social media pressure, near-total C-suite turnover, and the lack of genuine engagement with worthy rivals keep Harley in the MIXED category -- the Just Cause is real but inconsistently advanced by current leadership.</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Harley-Davidson's pursuit of 'freedom for the soul' through motorcycling is a genuine Just Cause that has endured for over 120 years -- surviving wars, recessions, near-bankruptcy in the 1980s, and cultural shifts [3]. H.O.G.'s 1M+ members are testament to people joining a cause, not buying a product. The 'Back to the Bricks' strategy explicitly anchors in this heritage, relaunching the Sportster and Sprint to reconnect with core riders [1]. However, the aging core demographic (average buyer 50+) and rotating leadership create doubt about whether the cause still inspires the next generation.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Harley-Davidson's factory culture and dealer network have historically fostered pride and loyalty, with employees and dealers viewing themselves as part of the Harley family. Glassdoor reviews show a split -- some describe the culture as 'awesome' with cross-functional collaboration, while others cite 'non-existent leadership' and toxic dynamics at the top [4]. The near-total C-suite reshuffling under CEO Starrs -- new CEO, CFO, COO, CMO, and Chief Brand Officer -- creates organizational uncertainty, but the clean-slate approach may ultimately reset trust if the new team executes.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Harley-Davidson's competitive language remains focused on brand supremacy and cultural dominance rather than learning from rivals' strengths. The company has been slow to acknowledge that Royal Enfield, Indian Motorcycle, and Japanese manufacturers offer compelling alternatives attracting younger riders at lower price points [2]. No management commentary from the Starrs era references learning from competitors' innovations in the mid-weight segment, electric mobility, or digital customer engagement.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LiveWire's electric motorcycle spinout represents genuine existential flexibility -- Harley recognized that motorcycling's future may include electric powertrains [1]. The 'Back to the Bricks' strategy with Sportster/Sprint relaunch targeting younger, mid-market riders represents meaningful strategic evolution within the motorcycle category. However, LiveWire's $70-80M annual loss with only $5M quarterly revenue shows poor execution, and the company has not yet demonstrated willingness to fundamentally reimagine its business model beyond the heavyweight motorcycle identity.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Starrs' 'Back to the Bricks' plan with $150M in cost reductions, $225M in profitability benefits, and Sportster/Sprint relaunch represents a more concrete and courageous strategic direction than the prior 'transition year' posture [1]. The willingness to realign dealer inventory (shipments -3.4%) while retail grows (+8.1%) shows discipline to accept short-term pain for long-term channel health. However, the 2024 DEI policy reversal under social media pressure from activist Robby Starbuck -- abandoning diversity programs -- remains a significant courage failure, demonstrating leadership that prioritizes avoiding controversy over standing by principles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Harley-Davidson at $27.60 ($2.87B market cap) with a 2.72% dividend yield offers a value entry into one of America's most iconic brands during a strategic reset. Q1 2026 delivered 14% North American retail growth and 8.1% global growth to 33,500 units, validating early traction of the 'Back to the Bricks' strategy under new CEO Artie Starrs [1]. The Sportster and Sprint relaunch targeting mid-weight riders, $150M cost reduction program (2026-2028), and $225M medium-term profitability benefits provide a credible path to margin recovery from the current 4.78% profit margin [1][5]. D/E of 74% is manageable, the payout ratio of 42.21% supports dividend sustainability, and the company's aggressive $128M Q1 buyback at depressed prices (9.96% buyback yield annualized) enhances per-share value [5]. The Inspire Impact Score of 34 (ALIGNED) with no negative attributions makes HOG a rare faith-compatible consumer cyclical with strong brand heritage.</w:t>
      </w:r>
    </w:p>
    <w:p>
      <w:pPr>
        <w:spacing w:after="120"/>
      </w:pPr>
      <w:r>
        <w:rPr>
          <w:rFonts w:ascii="Calibri" w:hAnsi="Calibri"/>
          <w:b w:val="0"/>
          <w:color w:val="3A4A28"/>
          <w:sz w:val="20"/>
        </w:rPr>
        <w:t>The bear case centers on structural demand decline and execution risk. Revenue contracted from $5.84B in 2023 to $4.24B TTM (-27%), reflecting not just cyclical softness but aging demographics -- the average Harley buyer is 50+ and the company has no proven formula for attracting younger riders at scale [1][5]. LiveWire's electric motorcycle losses of $70-80M annually drain capital with only $5M quarterly revenue, representing a strategic bet with no clear path to profitability. The 17.98% short interest -- among the highest in the consumer space -- reflects institutional skepticism about the turnaround [5]. Forward P/E of 20.52 with PEG of 7.07 implies the market expects minimal growth relative to the multiple. Near-total C-suite turnover under Starrs creates execution risk during a critical transformation, and the $150M cost reduction program may prove insufficient if motorcycle demand doesn't stabilize. Volatile tariffs and weakening consumer discretionary spending create additional macro headwinds for a $30K+ average transaction price product.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'Back to the Bricks' strategy driving Sportster/Sprint relaunch into the mid-weight segment, targeting mid-single-digit retail CAGR with $225M in profitability benefits -- Q1's 14% North American retail growth suggests early demand validation [1]</w:t>
      </w:r>
    </w:p>
    <w:p>
      <w:pPr>
        <w:spacing w:before="40" w:after="40"/>
        <w:ind w:left="283"/>
      </w:pPr>
      <w:r>
        <w:rPr>
          <w:rFonts w:ascii="Calibri" w:hAnsi="Calibri"/>
          <w:b/>
          <w:color w:val="4A6B25"/>
          <w:sz w:val="20"/>
        </w:rPr>
        <w:t xml:space="preserve">2. </w:t>
      </w:r>
      <w:r>
        <w:rPr>
          <w:rFonts w:ascii="Calibri" w:hAnsi="Calibri"/>
          <w:b w:val="0"/>
          <w:color w:val="3A4A28"/>
          <w:sz w:val="20"/>
        </w:rPr>
        <w:t>$150M cost reduction program (2026-2028) combined with dealer inventory realignment could restore HDMC operating margins from near-breakeven toward historical 10%+ levels, driving significant EPS recovery [1]</w:t>
      </w:r>
    </w:p>
    <w:p>
      <w:pPr>
        <w:spacing w:before="40" w:after="40"/>
        <w:ind w:left="283"/>
      </w:pPr>
      <w:r>
        <w:rPr>
          <w:rFonts w:ascii="Calibri" w:hAnsi="Calibri"/>
          <w:b/>
          <w:color w:val="4A6B25"/>
          <w:sz w:val="20"/>
        </w:rPr>
        <w:t xml:space="preserve">3. </w:t>
      </w:r>
      <w:r>
        <w:rPr>
          <w:rFonts w:ascii="Calibri" w:hAnsi="Calibri"/>
          <w:b w:val="0"/>
          <w:color w:val="3A4A28"/>
          <w:sz w:val="20"/>
        </w:rPr>
        <w:t>2.72% dividend yield with 42.21% payout ratio provides income floor, while the 9.96% buyback yield at current depressed prices ($128M Q1 buyback) accelerates per-share value creation and signals management confidence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demand decline -- aging core demographic (average buyer 50+) and 27% revenue contraction from 2023 peak to $4.24B TTM suggests permanent market share erosion that no product refresh can reverse [5]</w:t>
      </w:r>
    </w:p>
    <w:p>
      <w:pPr>
        <w:spacing w:before="40" w:after="40"/>
        <w:ind w:left="283"/>
      </w:pPr>
      <w:r>
        <w:rPr>
          <w:rFonts w:ascii="Calibri" w:hAnsi="Calibri"/>
          <w:b/>
          <w:color w:val="4A6B25"/>
          <w:sz w:val="20"/>
        </w:rPr>
        <w:t xml:space="preserve">2. </w:t>
      </w:r>
      <w:r>
        <w:rPr>
          <w:rFonts w:ascii="Calibri" w:hAnsi="Calibri"/>
          <w:b w:val="0"/>
          <w:color w:val="3A4A28"/>
          <w:sz w:val="20"/>
        </w:rPr>
        <w:t>LiveWire electric motorcycle losses of $70-80M annually drain capital with only $5M quarterly revenue, and the 17.98% short interest reflects institutional expectation that the electric strategy will fail [1][5]</w:t>
      </w:r>
    </w:p>
    <w:p>
      <w:pPr>
        <w:spacing w:before="40" w:after="40"/>
        <w:ind w:left="283"/>
      </w:pPr>
      <w:r>
        <w:rPr>
          <w:rFonts w:ascii="Calibri" w:hAnsi="Calibri"/>
          <w:b/>
          <w:color w:val="4A6B25"/>
          <w:sz w:val="20"/>
        </w:rPr>
        <w:t xml:space="preserve">3. </w:t>
      </w:r>
      <w:r>
        <w:rPr>
          <w:rFonts w:ascii="Calibri" w:hAnsi="Calibri"/>
          <w:b w:val="0"/>
          <w:color w:val="3A4A28"/>
          <w:sz w:val="20"/>
        </w:rPr>
        <w:t>Near-total C-suite turnover under CEO Artie Starrs creates execution risk during a critical transformation, compounded by volatile tariffs and weakening consumer discretionary spending on a $30K+ average transaction price product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Harley-Davidson's core business -- manufacturing, selling, and servicing physical motorcycles -- is structurally immune to AI disruption. The motorcycle riding experience is inherently physical and emotional; AI cannot replace the sensation of riding a Harley or the community bonds formed through H.O.G. events and rallies [3]. Manufacturing involves heavy industrial operations, proprietary engine designs (Milwaukee-Eight, Revolution Max), and a global dealer network of physical relationships that AI cannot displace. The HDFS financial services segment faces some AI exposure in credit underwriting and customer service, but these are enhancement opportunities not substitution risks. Tariffs, consumer discretionary spending, and demographic shifts pose far greater threats than AI [1]. AI Opportunity (0/1): No evidence of meaningful AI revenue generation. The company has appointed a Chief Marketing and Technology Officer to integrate digital capabilities, but no AI products or quantified AI-driven revenue have been disclosed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Harley-Davidson Q1 2026 Earnings Release -- Revenue $1.17B, 14% North America Retail Growth, 'Back to the Bricks' Strategy, Sportster/Sprint Relaunch, $150M Cost Actions, May 2026</w:t>
      </w:r>
    </w:p>
    <w:p>
      <w:pPr>
        <w:spacing w:before="20" w:after="20"/>
        <w:ind w:left="170"/>
      </w:pPr>
      <w:r>
        <w:rPr>
          <w:rFonts w:ascii="Calibri" w:hAnsi="Calibri"/>
          <w:b/>
          <w:color w:val="4A6B25"/>
          <w:sz w:val="15"/>
        </w:rPr>
        <w:t xml:space="preserve">2. </w:t>
      </w:r>
      <w:r>
        <w:rPr>
          <w:rFonts w:ascii="Calibri" w:hAnsi="Calibri"/>
          <w:b w:val="0"/>
          <w:color w:val="3A4A28"/>
          <w:sz w:val="17"/>
        </w:rPr>
        <w:t>Harley-Davidson Leadership Changes -- CEO Artie Starrs (ex-Topgolf), Near-Total C-Suite Turnover, Strategic Reset, PR Newswire / Investor Relations, 2025-2026</w:t>
      </w:r>
    </w:p>
    <w:p>
      <w:pPr>
        <w:spacing w:before="20" w:after="20"/>
        <w:ind w:left="170"/>
      </w:pPr>
      <w:r>
        <w:rPr>
          <w:rFonts w:ascii="Calibri" w:hAnsi="Calibri"/>
          <w:b/>
          <w:color w:val="4A6B25"/>
          <w:sz w:val="15"/>
        </w:rPr>
        <w:t xml:space="preserve">3. </w:t>
      </w:r>
      <w:r>
        <w:rPr>
          <w:rFonts w:ascii="Calibri" w:hAnsi="Calibri"/>
          <w:b w:val="0"/>
          <w:color w:val="3A4A28"/>
          <w:sz w:val="17"/>
        </w:rPr>
        <w:t>Harley-Davidson Brand Heritage, H.O.G. Community (1M+ Members), DEI Controversy and Policy Reversal, H-D Foundation -- Corporate Website, CBS News, 2024-2026</w:t>
      </w:r>
    </w:p>
    <w:p>
      <w:pPr>
        <w:spacing w:before="20" w:after="20"/>
        <w:ind w:left="170"/>
      </w:pPr>
      <w:r>
        <w:rPr>
          <w:rFonts w:ascii="Calibri" w:hAnsi="Calibri"/>
          <w:b/>
          <w:color w:val="4A6B25"/>
          <w:sz w:val="15"/>
        </w:rPr>
        <w:t xml:space="preserve">4. </w:t>
      </w:r>
      <w:r>
        <w:rPr>
          <w:rFonts w:ascii="Calibri" w:hAnsi="Calibri"/>
          <w:b w:val="0"/>
          <w:color w:val="3A4A28"/>
          <w:sz w:val="17"/>
        </w:rPr>
        <w:t>Glassdoor Employee Reviews -- Harley-Davidson: Mixed Culture Signals, Leadership Criticism,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HOG Key Statistics: Price $27.60, Forward P/E 20.52, PEG 7.07, D/E 74%, ROE 6.09%, Dividend Yield 2.72%, Short Interest 17.98%,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