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HP</w:t>
      </w:r>
      <w:r>
        <w:rPr>
          <w:rFonts w:ascii="Calibri" w:hAnsi="Calibri"/>
          <w:b/>
          <w:color w:val="1A2010"/>
          <w:sz w:val="40"/>
        </w:rPr>
        <w:t xml:space="preserve">  Helmerich &amp; Payne, Inc.</w:t>
      </w:r>
    </w:p>
    <w:p>
      <w:pPr>
        <w:spacing w:after="120"/>
      </w:pPr>
      <w:r>
        <w:rPr>
          <w:rFonts w:ascii="Calibri" w:hAnsi="Calibri"/>
          <w:b/>
          <w:color w:val="6E8450"/>
          <w:sz w:val="18"/>
        </w:rPr>
        <w:t>DIVIDEND SLEEVE · 2026-09-16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Drilling · NYSE · United States</w:t>
      </w:r>
    </w:p>
    <w:p>
      <w:pPr>
        <w:spacing w:after="80"/>
      </w:pPr>
      <w:r>
        <w:rPr>
          <w:rFonts w:ascii="Calibri" w:hAnsi="Calibri"/>
          <w:b w:val="0"/>
          <w:color w:val="3A4A28"/>
          <w:sz w:val="20"/>
        </w:rPr>
        <w:t>Helmerich &amp; Payne is a global drilling solutions provider for oil and gas exploration and production companies. Operating through North America Solutions, Offshore Solutions, and International Solutions segments, the company fields the largest active onshore rig count globally following its April 2025 acquisition of KCA Deutag. Q3 FY2026 showed a strong rebound with revenue exceeding $1B (+11% sequentially), 147 Lower 48 rigs working with super-spec utilization at 95%, and 10 rigs reactivated. Trey Adams became President and CEO in March 2026, succeeding long-time CEO John Lindsay. Founded in 1920, headquartered in Tulsa, Oklahoma.</w:t>
      </w:r>
    </w:p>
    <w:p>
      <w:r>
        <w:rPr>
          <w:rFonts w:ascii="Calibri" w:hAnsi="Calibri"/>
          <w:b/>
          <w:color w:val="6E8450"/>
          <w:sz w:val="18"/>
        </w:rPr>
        <w:t>15,700 Employees · https://www.hpinc.com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H&amp;P completed the transformative KCA Deutag acquisition in April 2025, creating the world's largest onshore drilling company by rig count, and former CEO John Lindsay spearheaded five technology company acquisitions modernizing automation and drilling capabilities [2]. Q3 FY2026 showed strong execution with revenue exceeding $1B (+11% sequentially), 10 rigs reactivated, and daily margins growing more than $1,000 sequentially. Management raised full-year rig-count guidance [1]. AI Deployment (1/2): H&amp;P deploys FlexFusion drilling automation technology combining machine learning, AI-controlled mud logging, and robotic pipe handling to optimize drilling operations for E&amp;P customers [2]. These generate premium pricing differentiation but are internally deployed operational tools rather than standalone AI products sold to third parties. Market Share (2/2): H&amp;P operates the largest active rig count globally with dominant North America super-spec market share — super-spec utilization reached 95% in Q3 FY2026 [1]. International presence expanding with rigs in Saudi Arabia, Argentina, North Sea, and other markets. 62 core cloud deals in FY2026 confirm dominant positioning. Product Pipeline (1/2): International expansion into Saudi Arabia (24 rigs targeted), Middle East, and Argentina provides visible growth runway, plus $160M+ in asset sales planned. Management expects continued momentum into FY2027 with robust activity [1]. R&amp;D Intensity (0/1): R&amp;D spending is modest relative to revenue, typical of the drilling services industry, though the technology acquisitions represent meaningful innovation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H&amp;P's purpose centers on delivering drilling solutions that optimize well economics — clear but not distinctive beyond the industry function. 'The H&amp;P Way' culture framework rooted in integrity, teamwork, service, and innovation has been maintained since 1920, providing organizational values that shape behavior without articulating a transformative vision [2]. Community Impact (1/2): H&amp;P publishes a sustainability report aligned with SASB, GRI, and TCFD frameworks and maintains community programs in Tulsa where it has been headquartered for 106 years. The company also owns commercial real estate properties providing community infrastructure [3]. Employee Retention (1/2): CEO succession from Lindsay to Adams was orderly — Adams described as 'embodying the H&amp;P Way' with Lindsay remaining as senior advisor through December 2026 [2]. The culture framework has survived 106 years and multiple CEO transitions, suggesting institutional stability for a 15,700-employee workforce. However, mixed Glassdoor reviews cite favoritism at some organizational levels. Insider Buying (1/2): The Helmerich family has historically maintained significant equity stakes aligning founder ownership with shareholders. Institutional ownership exceeds 100% of float, signaling strong institutional confidence in the recovery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reflecting mixed post-acquisition recovery profile. D/E of 69.7% scores 1.0, improved from 81% after early repayment of the $400M term loan — a positive deleveraging signal with $40M annual cost savings targeted by FY2027 [1]. ROE of -4.6% scores 0.0, reflecting trailing losses from KCA Deutag integration charges and impairments [3]. Revenue growth YoY of -0.6% scores 0.65, essentially flat as the Q3 rebound (+11% sequential) begins offsetting prior weakness [1]. Revenue growth 5yr CAGR of ~22% scores 1.0 (acquisition-inflated). Forward P/E of 29.1x scores 0.77, reflecting analyst expectations of profitability recovery (forward EPS $1.48 vs trailing -$1.39). Profit margin of -3.4% scores 0.0. Payout ratio of 60.9% scores 0.65. Consecutive years paid of 40+ scores 1.0 (2x weight), but consecutive years growth of 0 and 5yr dividend growth CAGR of -12.2% both score 0.0. The dividend cut from $2.84 to $1.00 over five years severely impacts the dividend metrics. Liquidity floor cleared: 1.28M avg vol x $43.08 = $55.2M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H&amp;P demonstrates mixed infinite game characteristics. The 106-year operating history — surviving two world wars, the Great Depression, multiple oil price collapses, and COVID — is inherently infinite game, as is the carefully planned CEO succession from Lindsay to Adams with a 12-month advisory overlap [2]. 'The H&amp;P Way' culture framework has survived multiple leadership transitions. However, the functional mission statement ('optimize well economics'), repeated dividend cuts from $2.84 to $1.00, and the commercially-framed KCA Deutag acquisition reflect finite-game pressures overlaid on an otherwise durable institution.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H&amp;P's purpose revolves around 'delivering drilling solutions that optimize well economics' — functional and clear but lacking a compelling vision of a future worth sacrificing for [2]. 'The H&amp;P Way' (integrity, teamwork, service, innovation) is organizational values, not a Just Cause in Sinek's framework — it describes how the company operates, not what better future it's building. The 106-year survival demonstrates remarkable institutional endurance, but endurance alone is not a Just Cause. The cause is interchangeable with any well-run drilling company.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orderly CEO succession — Lindsay retiring with a 12-month advisor role, Adams promoted internally as a known culture carrier who 'embodies the H&amp;P Way' — demonstrates institutional leadership development [2]. The culture framework has been maintained across CEO transitions for decades and through the major KCA Deutag integration. The Q3 rig reactivation of 10 rigs with strong operational performance suggests an engaged workforce. However, mixed Glassdoor reviews cite favoritism at some levels, and the integration of KCA Deutag's international workforce creates ongoing cultural assimilation challenges.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KCA Deutag acquisition demonstrates willingness to incorporate a rival's complementary capabilities — acquiring a competitor with international expertise rather than simply trying to out-compete it [2]. Management frames FlexFusion technology as a tool for customer value ('performance, safety, partnerships') rather than competitive destruction. Competitive language focuses on self-improvement and service differentiation, not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H&amp;P evolved from a domestic U.S. driller to a global drilling powerhouse through the KCA Deutag acquisition, entering Saudi Arabia, the North Sea, Norway, and South America [2]. The five technology company acquisitions modernized capabilities and created the FlexFusion automation platform. Q3 FY2026 showed strong international growth momentum. However, the core business model remains unchanged — contract drilling — and the company has not fundamentally reinvented itself despite 106 years of operation.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KCA Deutag acquisition was a bold $2B+ bet that doubled H&amp;P's global footprint during drilling market uncertainty [1]. Early repayment of the $400M term loan and targeting $40M annual cost savings demonstrates financial discipline over short-term comfort [1]. The technology acquisition strategy invested in long-term differentiation. However, the repeated dividend cuts from $2.84 to $1.00 over five years and ongoing trailing losses suggest leadership eventually capitulated to near-term pressure rather than investing through the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Helmerich &amp; Payne is the world's largest onshore drilling company by active rig count, and Q3 FY2026 marked a decisive inflection — revenue exceeded $1B (+11% sequentially), 10 rigs were reactivated, daily margins grew $1,000+ sequentially, and management raised full-year rig-count guidance [1]. Super-spec utilization reached 95%, and strong demand from private operators drove the reactivation. The early repayment of the $400M term loan and $40M annual cost savings target for FY2027 demonstrate financial discipline under new CEO Trey Adams [1]. FlexFusion automation technology differentiates H&amp;P from commodity drillers, commanding premium day rates. International growth (Saudi Arabia, Argentina, offshore) provides diversification beyond the U.S. shale cycle. At $43.08 per share (up from ~$21 at prior screen), the stock has re-rated on the operational recovery with a 2.3% dividend yield.</w:t>
      </w:r>
    </w:p>
    <w:p>
      <w:pPr>
        <w:spacing w:after="120"/>
      </w:pPr>
      <w:r>
        <w:rPr>
          <w:rFonts w:ascii="Calibri" w:hAnsi="Calibri"/>
          <w:b w:val="0"/>
          <w:color w:val="3A4A28"/>
          <w:sz w:val="20"/>
        </w:rPr>
        <w:t>The bear case centers on cyclical risk and unresolved profitability challenges. Despite the Q3 operational improvement, trailing ROE of -4.6% and profit margin of -3.4% confirm H&amp;P remains unprofitable on a trailing basis, with forward EPS of only $1.48 implying thin margins even in recovery [3]. The PEG ratio of 6.81 suggests the stock is expensive relative to growth expectations. The dividend has been cut from $2.84 to $1.00 over five years (-12.2% CAGR), destroying income reliability and limiting appeal for dividend investors — the 2.3% yield is barely above the threshold. Revenue growth of -0.6% reflects ongoing post-acquisition normalization. An oil price decline below $60/bbl would compress U.S. rig counts and reduce North America Solutions revenue, the largest earnings contributor [1]. The stock's 112% rally from 52-week lows prices in a full recovery, leaving limited margin of safety if Q4 or FY2027 disappoints. International execution risk remains — the Saudi Arabia ramp-up and Argentina operations face geopolitical and operational complexity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rig reactivation momentum — 10 rigs reactivated in Q3 with super-spec utilization at 95%, and raised full-year guidance implies further additions if demand holds into FY2027 [1]</w:t>
      </w:r>
    </w:p>
    <w:p>
      <w:pPr>
        <w:spacing w:before="40" w:after="40"/>
        <w:ind w:left="283"/>
      </w:pPr>
      <w:r>
        <w:rPr>
          <w:rFonts w:ascii="Calibri" w:hAnsi="Calibri"/>
          <w:b/>
          <w:color w:val="4A6B25"/>
          <w:sz w:val="20"/>
        </w:rPr>
        <w:t xml:space="preserve">2. </w:t>
      </w:r>
      <w:r>
        <w:rPr>
          <w:rFonts w:ascii="Calibri" w:hAnsi="Calibri"/>
          <w:b w:val="0"/>
          <w:color w:val="3A4A28"/>
          <w:sz w:val="20"/>
        </w:rPr>
        <w:t>KCA Deutag synergy realization — $400M term loan repaid early, $40M annual cost savings targeted for FY2027, and $160M+ in asset sales planned, with Adjusted EBITDA of $236M in Q3 exceeding guidance [1]</w:t>
      </w:r>
    </w:p>
    <w:p>
      <w:pPr>
        <w:spacing w:before="40" w:after="40"/>
        <w:ind w:left="283"/>
      </w:pPr>
      <w:r>
        <w:rPr>
          <w:rFonts w:ascii="Calibri" w:hAnsi="Calibri"/>
          <w:b/>
          <w:color w:val="4A6B25"/>
          <w:sz w:val="20"/>
        </w:rPr>
        <w:t xml:space="preserve">3. </w:t>
      </w:r>
      <w:r>
        <w:rPr>
          <w:rFonts w:ascii="Calibri" w:hAnsi="Calibri"/>
          <w:b w:val="0"/>
          <w:color w:val="3A4A28"/>
          <w:sz w:val="20"/>
        </w:rPr>
        <w:t>International growth ramp — Saudi Arabia, Argentina, North Sea, and offshore expansion providing non-US revenue diversification and reducing dependence on cyclical U.S. shale activity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Oil price decline below $60/bbl would compress U.S. rig counts and reduce North America Solutions revenue; the stock's rally from $20 to $43 prices in recovery, and any oil price weakness could trigger a significant pullback [1]</w:t>
      </w:r>
    </w:p>
    <w:p>
      <w:pPr>
        <w:spacing w:before="40" w:after="40"/>
        <w:ind w:left="283"/>
      </w:pPr>
      <w:r>
        <w:rPr>
          <w:rFonts w:ascii="Calibri" w:hAnsi="Calibri"/>
          <w:b/>
          <w:color w:val="4A6B25"/>
          <w:sz w:val="20"/>
        </w:rPr>
        <w:t xml:space="preserve">2. </w:t>
      </w:r>
      <w:r>
        <w:rPr>
          <w:rFonts w:ascii="Calibri" w:hAnsi="Calibri"/>
          <w:b w:val="0"/>
          <w:color w:val="3A4A28"/>
          <w:sz w:val="20"/>
        </w:rPr>
        <w:t>Trailing profitability remains negative — ROE -4.6%, profit margin -3.4%, and PEG of 6.81 suggest the stock is priced for a full recovery that forward EPS of $1.48 may not fully deliver [3]</w:t>
      </w:r>
    </w:p>
    <w:p>
      <w:pPr>
        <w:spacing w:before="40" w:after="40"/>
        <w:ind w:left="283"/>
      </w:pPr>
      <w:r>
        <w:rPr>
          <w:rFonts w:ascii="Calibri" w:hAnsi="Calibri"/>
          <w:b/>
          <w:color w:val="4A6B25"/>
          <w:sz w:val="20"/>
        </w:rPr>
        <w:t xml:space="preserve">3. </w:t>
      </w:r>
      <w:r>
        <w:rPr>
          <w:rFonts w:ascii="Calibri" w:hAnsi="Calibri"/>
          <w:b w:val="0"/>
          <w:color w:val="3A4A28"/>
          <w:sz w:val="20"/>
        </w:rPr>
        <w:t>Dividend reliability destroyed — cut from $2.84 to $1.00 over five years with zero consecutive years of growth; the 2.3% yield barely qualifies as a dividend stock and could face further pressure if losses persist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H&amp;P's core business — deploying and operating physical drilling rigs in oil fields, offshore platforms, and international locations — is structurally immune to AI substitution [2]. Drilling requires massive capital equipment ($25M+ per super-spec rig), 15,700 skilled field personnel, and real-world physical operations in remote locations that AI structurally cannot replace. The business is further protected by long-term rig contracts, environmental/safety regulatory requirements, and the essential nature of oil and gas production for global energy supply. AI is purely an enabler: AI-driven data centers increase electricity and natural gas demand, potentially increasing drilling activity. No analysts have flagged AI displacement as a risk for contract drilling. AI Opportunity (1/1): H&amp;P generates technology premium pricing from its FlexFusion drilling automation platform, which uses AI-controlled systems to optimize drilling operations, differentiate from commodity drillers, and command higher day rates from E&amp;P customers [2]. Daily margins grew $1,000+ sequentially in Q3 partly due to technology-driven operational efficiency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Helmerich &amp; Payne Q3 FY2026 Earnings — Revenue &gt;$1B (+11% sequential), Adjusted EBITDA $236M, 10 Rigs Reactivated, 147 Lower 48 Rigs, Super-Spec Utilization 95%, $400M Loan Repaid, Guidance Raised —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H&amp;P Leadership &amp; Strategy — CEO Trey Adams (March 2026), John Lindsay Retirement, 'The H&amp;P Way,' KCA Deutag Integration, FlexFusion Automation, International Expansion — BusinessWire, Morningstar, Simply Wall St,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HP Key Statistics: Price $43.08, Forward P/E 29.14, PEG 6.81, D/E 69.7%, ROE -4.6%, Dividend Yield 2.3%,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