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HRB</w:t>
      </w:r>
      <w:r>
        <w:rPr>
          <w:rFonts w:ascii="Calibri" w:hAnsi="Calibri"/>
          <w:b/>
          <w:color w:val="1A2010"/>
          <w:sz w:val="40"/>
        </w:rPr>
        <w:t xml:space="preserve">  H&amp;R Block, Inc.</w:t>
      </w:r>
    </w:p>
    <w:p>
      <w:pPr>
        <w:spacing w:after="120"/>
      </w:pPr>
      <w:r>
        <w:rPr>
          <w:rFonts w:ascii="Calibri" w:hAnsi="Calibri"/>
          <w:b/>
          <w:color w:val="6E8450"/>
          <w:sz w:val="18"/>
        </w:rPr>
        <w:t>DIVIDEND SLEEVE · 2026-09-08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Personal Services · NYSE · United States</w:t>
      </w:r>
    </w:p>
    <w:p>
      <w:pPr>
        <w:spacing w:after="80"/>
      </w:pPr>
      <w:r>
        <w:rPr>
          <w:rFonts w:ascii="Calibri" w:hAnsi="Calibri"/>
          <w:b w:val="0"/>
          <w:color w:val="3A4A28"/>
          <w:sz w:val="20"/>
        </w:rPr>
        <w:t>H&amp;R Block, Inc. is the largest U.S. tax preparation company, serving 20+ million clients globally across ~9,000 retail locations and digital platforms. Founded in 1955, HRB provides assisted and DIY tax preparation, financial products (Emerald Card, Spruce mobile banking), and small business solutions (Wave). The company operates through U.S. Tax Preparation, International, and Wave segments, with 60,000+ seasonal tax professionals during tax season. New CEO Curtis Campbell (January 2026) is transforming HRB into a year-round financial platform powered by AI. FY2026 revenue of $3.95B (+4.9%) with adjusted EPS of $5.31 (+13.9%). Quarterly dividend raised 10% to $0.46/share, representing nine consecutive annual increases.</w:t>
      </w:r>
    </w:p>
    <w:p>
      <w:r>
        <w:rPr>
          <w:rFonts w:ascii="Calibri" w:hAnsi="Calibri"/>
          <w:b/>
          <w:color w:val="6E8450"/>
          <w:sz w:val="18"/>
        </w:rPr>
        <w:t>4,300 Employees · https://www.hrblock.com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Block Horizons strategy delivered Wave small business services, Spruce mobile banking, and expanded financial products, but HRB fundamentally remains a tax preparation company — no transformative pivot in business model [1]. New CEO Campbell (ex-TaxAct CEO, ex-Intuit VP, ex-AWS) is pushing a year-round financial platform vision powered by software, data, and AI, but the transformation is early-stage. AI Deployment (2/2): OpenAI partnership (April 2025) deploying generative AI across 60,000+ tax professionals, combining OpenAI models with HRB's Tax Institute content. AI Tax Assist deployed across all DIY and assisted products for Tax Season 2026. FY2026 full-year results showed 4.9% revenue growth and 'conversion gains' driving 13.9% adjusted EPS growth, with 'meaningfully improved assisted market share' partly attributed to AI enhancement of the human preparer model [1][2]. Market Share (2/2): #1 US tax preparation brand with ~20M clients globally, ~9,000 locations, and a 71-year history. FY2026 demonstrated continued leadership with revenue growth across assisted, DIY, and international segments, and management noted assisted market share improved meaningfully after several years of pressure [1]. Product Pipeline (1/2): AI Tax Assist expansion, Wave growth, Spruce banking, and Campbell's year-round financial platform vision. Clear strategic direction but specific next-gen product timelines and revenue visibility are limited [2]. R&amp;D Intensity (0/1): Tax preparation is not R&amp;D-intensive. Technology spending is growing under Campbell's technology-forward strategy but does not place HRB in the top quartile of its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 provide help and inspire confidence in our clients and communities everywhere.' Clear, identifies purpose around financial confidence beyond tax season [3]. However, the FTC's $7M settlement (January 2025) for deceptive downgrading practices — forcing customers to call to downgrade, deleting entered tax data when customers attempted to downgrade — directly contradicts the mission of 'helping' clients. New CEO Campbell's emphasis on preserving 'the human trust that has long set the company apart' attempts to rehabilitate the purpose. Community Impact (1/2): 'Fund Her Future' women's business grant program ($100K), 'Make Every Block Better' community engagement, Spruce for financial inclusion, and five annual ESG reports published [3]. Specific programs but modest scale relative to $3.95B revenue. Employee Retention (0/2): 4,300 core employees plus 60,000+ seasonal workforce creates inherent retention challenges. Comparably leadership score of 66/100 (bottom 45% of large companies). The seasonal model structurally limits trust-building and long-term employee development [2]. Insider Buying (0/2): Outgoing CEO Jones: 9 sells, 0 buys over 5 years, including $8.2M pre-retirement liquidation. Net insider selling of -$27M over the last 2 years. New CEO Campbell has only routine tax-withholding dispositions since appointment.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ROE excluded due to near-zero equity (~$89M, distorted by cumulative $5.2B+ in share buybacks since 2016 that reduced shares outstanding by 48%). D/E of ~1789% scores 0, but this is an accounting artifact — debt/EBITDA of ~1.5x and interest coverage of 11.15x demonstrate healthy leverage [1]. FY2026 revenue of $3.95B (+4.9%) with GAAP net income of $736.3M (+20.8%) and adjusted EPS of $5.31 (+13.9%), driven by higher net average charge, assisted volume gains, and Wave/international growth [1]. Forward P/E of 7.55 and estimated PEG of ~0.55 are deeply attractive, scoring 1.0 each. Profit margin of 18.59% scores 0.93 against the 20% target. Revenue growth YoY of 4.9% (0.83) and 5yr CAGR of ~3% (0.53) reflect the mature tax preparation industry's limited organic growth potential. Dividend: $1.84/share annual (3.75% yield), payout ratio 34%, 64 consecutive years of quarterly payments (since 1962), 9 consecutive years of growth, and estimated 8% 5yr dividend growth CAGR all contribute strongly with 2x weighting on years paid and div growth CAGR. Weighted sum 9.19/11.0 (ROE excluded) rounds to 8. FY2026 returned $713.7M to shareholders via dividends and buybacks. Liquidity floor cleared at ~$114M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H&amp;R Block has institutional continuity through 71 years of tax preparation and 64 consecutive years of quarterly dividends, demonstrating organizational durability that few companies can match. The orderly CEO transition from Jones to Campbell with an 18-month advisory overlap reflects mature succession planning. However, the FTC settlement for deceptive customer practices, the seasonal workforce model, and the aggressive focus on share buybacks and quarterly earnings metrics suggest a company that optimizes for financial results over mission advancement. Campbell's vision of a year-round financial platform powered by AI shows strategic foresight but remains unproven.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'Provide help and inspire confidence in our clients and communities everywhere' is a genuine purpose statement that has endured through 71 years of tax preparation. However, the FTC's $7M settlement for deceptive downgrading practices — making it deliberately difficult for customers to switch to cheaper products and deleting their data when they tried — directly undermines the claimed purpose of 'helping' clients [3]. A Just Cause contradicted by documented customer-hostile business practices cannot earn more than 1 point, regardless of the mission statement's quality.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transition from Jones to Campbell was orderly with Board unanimity and an 18-month advisory overlap, reflecting institutional maturity. Campbell's leadership philosophy emphasizes humility: 'There are a lot of people in that room that are much smarter than I will ever be' [2]. However, the seasonal workforce model (4,300 core + 60,000 seasonal) inherently limits trust-building. Comparably leadership score of 66/100 (bottom 45%) suggests uneven trust across the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HRB's competitive strategy focuses on self-improvement rather than defeating Intuit/TurboTax. The OpenAI partnership and 'force multiplier for human expertise' framing suggest competing through capability enhancement rather than price warfare [2]. Management noted 'progress with higher complexity clients' — competing by moving upmarket rather than fighting on simple returns. New CEO Campbell's background at both Intuit (VP Product) and TaxAct (CEO) embodies competitive self-awareness: learning from rivals by recruiting their talent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HRB evolved from pure in-person tax preparation to a multi-channel platform spanning digital DIY, AI-assisted preparation, Wave small business services, Spruce mobile banking, and international operations [1]. Campbell's year-round financial platform vision represents further evolution. The OpenAI partnership is a meaningful strategic shift. However, these are incremental evolutions of the same tax preparation business model rather than the kind of transformative pivot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the OpenAI partnership and AI Tax Assist during a period of declining assisted market share and 14% short interest shows strategic courage — betting on human+AI rather than retreating from technology [1][2]. Campbell's appointment from a competitor (TaxAct) and technology background (AWS, Intuit) represents a courageous bet on transformation over continuity. FY2026 returned $713.7M to shareholders despite AI disruption fears, demonstrating conviction. However, the FTC settlement reveals practices that contradict courageous leadership principles.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H&amp;R Block at 7.55x forward earnings (PEG ~0.55) with a 3.75% dividend yield backed by 64 consecutive years of quarterly payments is a deeply discounted income play on a franchise brand navigating the AI transition [1]. FY2026 delivered total revenue of $3.95B (+4.9%) with GAAP net income of $736.3M (+20.8%) and adjusted EPS of $5.31 (+13.9%), driven by AI-enhanced conversion gains and improved assisted market share [1]. The OpenAI partnership deploying AI across 60,000+ professionals is validating the human+AI hybrid model — FY2026 marked the first meaningful assisted share gain reversal in several years. Total shareholder return of $713.7M in FY2026 ($5.2B since 2016, with 48% of shares retired) demonstrates exceptional capital allocation discipline. The quarterly dividend was raised 10% to $0.46/share — nine consecutive annual increases — with a comfortable 34% payout ratio providing ample room for continued growth. New CEO Campbell's technology pedigree (AWS, Intuit, TaxAct) positions HRB for the AI transition better than any prior leadership team.</w:t>
      </w:r>
    </w:p>
    <w:p>
      <w:pPr>
        <w:spacing w:after="120"/>
      </w:pPr>
      <w:r>
        <w:rPr>
          <w:rFonts w:ascii="Calibri" w:hAnsi="Calibri"/>
          <w:b w:val="0"/>
          <w:color w:val="3A4A28"/>
          <w:sz w:val="20"/>
        </w:rPr>
        <w:t>The existential risk is AI-driven automation making tax preparation a commodity, structurally threatening both the DIY and eventually the assisted segments. Short interest of ~14% reflects significant market concern about long-term viability [1]. Simple tax returns (standard deductions, W-2 only) face direct substitution from AI tools, and the complexity moat protecting the assisted segment will narrow as AI capabilities improve each tax season. The FTC's $7M settlement for deceptive customer practices damaged brand trust precisely when trust is the key competitive moat against AI alternatives. D/E of 1789% is an accounting artifact from $5.2B in cumulative buybacks, but the eroded equity base (~$89M) limits financial flexibility if revenue declines materially. Revenue growth of 4.9% YoY and 3% 5-year CAGR reflect the mature tax preparation industry's limited organic growth potential — HRB needs the AI-powered platform transformation to succeed for multiple expansion beyond the current deep-value level. The Inspire Impact Score of -49 (MISALIGNED) constrains faith-based investor participation. CEO transition risk: Campbell has been CEO for only 8 months and the platform transformation vision remains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Tax Assist scaling across all products via the OpenAI partnership, with FY2026 showing 'meaningfully improved assisted market share' and 'conversion gains' — continued AI enhancement could drive both volume and net average charge higher in FY2027 [1][2]</w:t>
      </w:r>
    </w:p>
    <w:p>
      <w:pPr>
        <w:spacing w:before="40" w:after="40"/>
        <w:ind w:left="283"/>
      </w:pPr>
      <w:r>
        <w:rPr>
          <w:rFonts w:ascii="Calibri" w:hAnsi="Calibri"/>
          <w:b/>
          <w:color w:val="4A6B25"/>
          <w:sz w:val="20"/>
        </w:rPr>
        <w:t xml:space="preserve">2. </w:t>
      </w:r>
      <w:r>
        <w:rPr>
          <w:rFonts w:ascii="Calibri" w:hAnsi="Calibri"/>
          <w:b w:val="0"/>
          <w:color w:val="3A4A28"/>
          <w:sz w:val="20"/>
        </w:rPr>
        <w:t>New CEO Campbell's vision to transform HRB into a year-round financial platform (Spruce banking, Wave small business, AI-powered financial guidance) could unlock recurring revenue beyond the seasonal tax cycle, supporting a re-rating from deep-value to platform multiple [2]</w:t>
      </w:r>
    </w:p>
    <w:p>
      <w:pPr>
        <w:spacing w:before="40" w:after="40"/>
        <w:ind w:left="283"/>
      </w:pPr>
      <w:r>
        <w:rPr>
          <w:rFonts w:ascii="Calibri" w:hAnsi="Calibri"/>
          <w:b/>
          <w:color w:val="4A6B25"/>
          <w:sz w:val="20"/>
        </w:rPr>
        <w:t xml:space="preserve">3. </w:t>
      </w:r>
      <w:r>
        <w:rPr>
          <w:rFonts w:ascii="Calibri" w:hAnsi="Calibri"/>
          <w:b w:val="0"/>
          <w:color w:val="3A4A28"/>
          <w:sz w:val="20"/>
        </w:rPr>
        <w:t>Dividend raised 10% to $0.46/quarter with 34% payout ratio and $713.7M annual capital return capacity, providing 9%+ total shareholder yield (3.75% dividend + ~5% buyback) while the stock trades at 7.55x forward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tax automation from TurboTax AI, ChatGPT, and emerging solutions structurally threatens the tax preparation business model — short interest of ~14% reflects significant market concern, and each successive tax season could see AI capabilities narrow the complexity moat protecting the $2.5B+ assisted segment [1]</w:t>
      </w:r>
    </w:p>
    <w:p>
      <w:pPr>
        <w:spacing w:before="40" w:after="40"/>
        <w:ind w:left="283"/>
      </w:pPr>
      <w:r>
        <w:rPr>
          <w:rFonts w:ascii="Calibri" w:hAnsi="Calibri"/>
          <w:b/>
          <w:color w:val="4A6B25"/>
          <w:sz w:val="20"/>
        </w:rPr>
        <w:t xml:space="preserve">2. </w:t>
      </w:r>
      <w:r>
        <w:rPr>
          <w:rFonts w:ascii="Calibri" w:hAnsi="Calibri"/>
          <w:b w:val="0"/>
          <w:color w:val="3A4A28"/>
          <w:sz w:val="20"/>
        </w:rPr>
        <w:t>FTC $7M settlement (January 2025) for deceptive downgrading practices and active class action litigation damage the brand trust moat that differentiates HRB from AI alternatives, undermining the mission-critical claim that 'human trust' is the competitive advantage [3]</w:t>
      </w:r>
    </w:p>
    <w:p>
      <w:pPr>
        <w:spacing w:before="40" w:after="40"/>
        <w:ind w:left="283"/>
      </w:pPr>
      <w:r>
        <w:rPr>
          <w:rFonts w:ascii="Calibri" w:hAnsi="Calibri"/>
          <w:b/>
          <w:color w:val="4A6B25"/>
          <w:sz w:val="20"/>
        </w:rPr>
        <w:t xml:space="preserve">3. </w:t>
      </w:r>
      <w:r>
        <w:rPr>
          <w:rFonts w:ascii="Calibri" w:hAnsi="Calibri"/>
          <w:b w:val="0"/>
          <w:color w:val="3A4A28"/>
          <w:sz w:val="20"/>
        </w:rPr>
        <w:t>D/E of 1789% and near-zero equity (~$89M) from $5.2B cumulative buybacks mean any material revenue disruption from AI competition could strain the thin equity cushion, despite healthy interest coverage and cash flow — the company has no balance sheet flexibility for a defensive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Tax preparation faces genuine AI substitution risk. Simple tax returns are increasingly automatable by AI tools from TurboTax/Intuit, ChatGPT, and emerging AI tax solutions. HRB's DIY segment is directly exposed. However, the assisted segment (~$2.5B) is partially protected by tax code complexity, annual regulatory changes, IRS compliance requirements, and client risk aversion around filing accuracy [1]. FY2026 results showed 'meaningfully improved assisted market share' and 'conversion gains' — evidence that the human+AI hybrid model is defensible for complex tax situations. The FTC settlement paradoxically demonstrates regulatory moats around compliant tax preparation. Short interest of ~14% reflects market concern about long-term viability from AI disruption [1][2]. CEO Campbell (ex-AWS, ex-Intuit) is positioning HRB to use AI as a force multiplier for human preparers rather than replacing them. AI Opportunity (1/1): AI Tax Assist deployed across all DIY and assisted products via the OpenAI partnership. FY2026 results showed measurable impact — 4.9% revenue growth, 13.9% adjusted EPS growth, and improved assisted market share partly attributed to AI enhancement of the 60,000+ professional workforce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H&amp;R Block FY2026 Full-Year Results — Revenue $3.95B (+4.9%), GAAP Net Income $736.3M (+20.8%), Adjusted EPS $5.31 (+13.9%), $713.7M Returned to Shareholders, Dividend Raised 10% to $0.46/Quarter — SEC 8-K Filing, hrblock.com Investor Relations, August 2026</w:t>
      </w:r>
    </w:p>
    <w:p>
      <w:pPr>
        <w:spacing w:before="20" w:after="20"/>
        <w:ind w:left="170"/>
      </w:pPr>
      <w:r>
        <w:rPr>
          <w:rFonts w:ascii="Calibri" w:hAnsi="Calibri"/>
          <w:b/>
          <w:color w:val="4A6B25"/>
          <w:sz w:val="15"/>
        </w:rPr>
        <w:t xml:space="preserve">2. </w:t>
      </w:r>
      <w:r>
        <w:rPr>
          <w:rFonts w:ascii="Calibri" w:hAnsi="Calibri"/>
          <w:b w:val="0"/>
          <w:color w:val="3A4A28"/>
          <w:sz w:val="17"/>
        </w:rPr>
        <w:t>H&amp;R Block AI Strategy and Leadership — New CEO Curtis Campbell (ex-TaxAct/Intuit/AWS), OpenAI Partnership, AI Tax Assist Deployment, Year-Round Financial Platform Vision — Fortune, Yahoo Finance, hrblock.com Newsroom, 2025-2026</w:t>
      </w:r>
    </w:p>
    <w:p>
      <w:pPr>
        <w:spacing w:before="20" w:after="20"/>
        <w:ind w:left="170"/>
      </w:pPr>
      <w:r>
        <w:rPr>
          <w:rFonts w:ascii="Calibri" w:hAnsi="Calibri"/>
          <w:b/>
          <w:color w:val="4A6B25"/>
          <w:sz w:val="15"/>
        </w:rPr>
        <w:t xml:space="preserve">3. </w:t>
      </w:r>
      <w:r>
        <w:rPr>
          <w:rFonts w:ascii="Calibri" w:hAnsi="Calibri"/>
          <w:b w:val="0"/>
          <w:color w:val="3A4A28"/>
          <w:sz w:val="17"/>
        </w:rPr>
        <w:t>H&amp;R Block ESG, Community Impact, and FTC Settlement — Fifth Annual ESG Report, Fund Her Future Program, FTC $7M Settlement for Deceptive Practices — hrblock.com, FTC.gov, GlobeNewsWire,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