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HR</w:t>
      </w:r>
      <w:r>
        <w:rPr>
          <w:rFonts w:ascii="Calibri" w:hAnsi="Calibri"/>
          <w:b/>
          <w:color w:val="1A2010"/>
          <w:sz w:val="40"/>
        </w:rPr>
        <w:t xml:space="preserve">  Healthcare Realty Trust Incorporated</w:t>
      </w:r>
    </w:p>
    <w:p>
      <w:pPr>
        <w:spacing w:after="120"/>
      </w:pPr>
      <w:r>
        <w:rPr>
          <w:rFonts w:ascii="Calibri" w:hAnsi="Calibri"/>
          <w:b/>
          <w:color w:val="6E8450"/>
          <w:sz w:val="18"/>
        </w:rPr>
        <w:t>DIVIDEND SLEEVE · 2026-09-01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NYSE · United States</w:t>
      </w:r>
    </w:p>
    <w:p>
      <w:pPr>
        <w:spacing w:after="80"/>
      </w:pPr>
      <w:r>
        <w:rPr>
          <w:rFonts w:ascii="Calibri" w:hAnsi="Calibri"/>
          <w:b w:val="0"/>
          <w:color w:val="3A4A28"/>
          <w:sz w:val="20"/>
        </w:rPr>
        <w:t>Healthcare Realty Trust is a real estate investment trust (REIT) focused on owning, managing, and developing outpatient medical properties. The company owns approximately 660 properties totaling over 40 million square feet across major healthcare markets, primarily leased to hospital systems, physician groups, and other healthcare providers. Formed through the 2022 merger of Healthcare Trust and Physicians Realty Trust. Q2 2026 delivered 5.1% same-store NOI growth with FFO guidance raised to $1.62-$1.66/share, the second guidance increase of 2026. CEO search ongoing since Todd Meredith's November 2024 departure, with Constance Moore serving as interim CEO.</w:t>
      </w:r>
    </w:p>
    <w:p>
      <w:r>
        <w:rPr>
          <w:rFonts w:ascii="Calibri" w:hAnsi="Calibri"/>
          <w:b/>
          <w:color w:val="6E8450"/>
          <w:sz w:val="18"/>
        </w:rPr>
        <w:t>539 Employees · https://www.healthcarerealty.com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Healthcare Realty is a traditional REIT with no meaningful product launches, market pivots, or business model transformations [1]. The 2022 merger with Physicians Realty Trust doubled portfolio size but the business model remains unchanged -- own and lease medical outpatient buildings. Revenue has been declining as the company disposes of non-core assets to optimize the portfolio. AI Deployment (0/2): No AI-powered products or services deployed. The company mentioned a 'data analytics platform' buildout under former CEO Meredith, but no quantified AI-driven cost savings or technology deployment has been disclosed [2]. Market Share (1/2): Healthcare Realty is one of the largest pure-play medical outpatient building REITs in the U.S. with ~660 properties and 40M+ sq ft. Q1 2026 achieved record leasing of 2.0 million sq ft with 93.5% tenant retention, and Q2 2026 maintained strong same-store NOI growth of 5.1% [1]. Scale advantage in a fragmented market. Product Pipeline (1/2): Operational momentum is strong -- Q2 2026 same-store NOI growth of 5.1%, rising occupancy, and FFO guidance raised twice in 2026 to $1.62-$1.66/share demonstrate organic growth trajectory [1][3]. However, this represents operational execution, not new product development. R&amp;D Intensity (0/1): As a REIT, Healthcare Realty does not invest in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Healthcare Realty's purpose of owning and operating 'high-quality medical outpatient buildings that facilitate the delivery of healthcare' is clear and connected to a societal need (healthcare access), but is not distinctive among healthcare REITs -- any competitor could make the same claim [2]. Corporate values of 'Respect, Teamwork, Financial Discipline, and Winning Mentality' include finite competitive language. Community Impact (1/2): The company earned a GRESB score of 76 with Green Star status, ISS ESG 'Prime' rating, and maintains 69 green building certifications covering 5.7 million square feet [5]. Published its seventh annual Corporate Responsibility Report. Targets include 15% energy reduction, 30% Scope 1-2 emissions reduction, and 20% water reduction by 2032 [5]. Environmental stewardship is meaningful, though specific charitable programs are limited. Employee Retention (0/2): CEO Todd Meredith departed November 2024, replaced by interim CEO Connie Moore. Subsequent C-suite changes (new CFO Austen Helfrich, new GC Andrew Loope) signal ongoing transition now 22+ months without permanent leadership [2]. Glassdoor 3.7/5 WLB but only 2.9/5 for culture/values, with 52% recommending to a friend [4]. Insider Buying (0/2): No evidence of meaningful net insider buying during the extended leadership transition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noting GAAP metrics are inherently misleading for REITs due to non-cash depreciation charges. FFO is the appropriate earnings metric: FY2026 normalized FFO guidance raised twice to $1.62-$1.66/share, reflecting record same-store NOI growth and strong leasing [1][3]. P/FFO of 13.53x (used as Forward P/E proxy) is attractive for a healthcare REIT, scoring 1.0 [6]. D/E of 103% is manageable for a REIT with $4B+ in real estate assets but above the 70% target (score 0.86) [6]. GAAP ROE of -1.92% and profit margin of -7.57% reflect depreciation-heavy accounting, both scoring zero mechanically -- the company is operationally profitable on an FFO basis [6]. Revenue declined ~2% YoY as organic growth (5.1% same-store NOI) offsets ongoing asset dispositions. Dividend yield of 5.04% with FFO payout ratio of ~58.5% ($0.96/$1.64 guidance midpoint) is sustainable. Consecutive years paid ~25 (legacy history) scores 1.0 with 2x weight. However, the 22.6% dividend cut in 2025 and negative 5yr growth CAGR of -5% both score zero, significantly dragging the total [6]. Liquidity floor cleared: 3.15M avg volume x $19.04 = $60.0M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Healthcare Realty demonstrates mixed infinite game characteristics. The company has served healthcare real estate for 30+ years, providing essential physical infrastructure for medical care delivery, and its GRESB Green Star and ISS ESG 'Prime' ratings reflect genuine sustainability commitment. However, the CEO vacancy now stretching 22+ months, the 2025 dividend cut, and corporate values emphasizing 'Winning Mentality' suggest finite game orientation. Operational execution under interim CEO Connie Moore has been strong (record leasing, twice-raised guidance), but the strategic direction remains uncertain without permanent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Healthcare Realty's purpose -- owning medical outpatient buildings that 'facilitate the delivery of healthcare' -- is functional but shallow [2]. It describes what the company does, not a vision of a better future. Any healthcare REIT could make the same claim. The GRESB and ESG commitments add some purpose dimension, but the corporate values including 'Winning Mentality' reflect finite, competition-focused language that Sinek would identify as playing to win rather than playing to advance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leadership transition has stabilized operationally -- new CFO Austen Helfrich and GC Andrew Loope have been formally appointed, and interim CEO Moore has delivered impressive results (record leasing, twice-raised guidance) [1][2]. This organizational continuity despite executive turnover suggests a resilient middle management layer. Glassdoor shows 3.7/5 for work-life balance, though culture/values at 2.9/5 and only 52% recommending to a friend indicate average rather than exceptional trust [4]. The extended 22-month CEO vacancy creates ongoing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Healthcare Realty's management acknowledging competitors' strengths or using competitive dynamics for self-improvement. Earnings communications focus on internal metrics (NOI growth, occupancy, leasing spreads, FFO) rather than competitive positioning or learning from Healthpeak, Welltower, or other healthcare REITs [1]. The company competes for acquisitions and tenants but does not articulate a learning-oriented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Healthcare Realty has operated the same business model -- owning and leasing medical outpatient buildings -- since its founding in 1992. The 2022 merger with Physicians Realty Trust expanded the same model at greater scale but was not a transformative pivot. The ongoing asset disposition program is defensive portfolio optimization (balance sheet strengthening), not strategic reinvention. No evidence of willingness to fundamentally reimagine the business or enter adjacent markets.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Healthcare Realty's aggressive deleveraging through non-core asset dispositions, the difficult 2025 dividend cut from $0.31 to $0.24/quarter, and the twice-raised FY2026 FFO guidance reflect willingness to sacrifice near-term income for long-term financial health and operational excellence [1][3]. The Q2 2026 same-store NOI growth of 5.1% with same-store guidance raised to 4.25%-5.00% demonstrates execution confidence. However, these moves were partially forced by financial necessity (overleveraged post-merger balance sheet) rather than visionary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Healthcare Realty at $19.04 (P/FFO 13.53x) with a 5.04% dividend yield offers an income-oriented entry into healthcare real estate backed by strong operational momentum. FY2026 FFO guidance has been raised twice to $1.62-$1.66/share, driven by Q2 same-store NOI growth of 5.1%, rising occupancy, and record leasing volumes [1][3]. The ~660-property, 40M+ sq ft portfolio benefits from secular healthcare tailwinds -- aging U.S. demographics, outpatient shift from inpatient care, hospital system expansion into suburban markets, and physician group consolidation. The FFO payout ratio of ~58.5% provides comfortable dividend coverage with room for reinvestment. GRESB Green Star and ISS ESG 'Prime' ratings provide institutional appeal [5]. The Inspire Impact Score of 51 (ALIGNED) with no negative attributions makes HR one of the few faith-compatible healthcare REITs available, adding to its appeal for values-oriented income investors. At 13.5x P/FFO versus healthcare REIT peers trading at 16-18x, the leadership discount creates valuation upside on permanent CEO appointment.</w:t>
      </w:r>
    </w:p>
    <w:p>
      <w:pPr>
        <w:spacing w:after="120"/>
      </w:pPr>
      <w:r>
        <w:rPr>
          <w:rFonts w:ascii="Calibri" w:hAnsi="Calibri"/>
          <w:b w:val="0"/>
          <w:color w:val="3A4A28"/>
          <w:sz w:val="20"/>
        </w:rPr>
        <w:t>The bear case centers on leadership uncertainty, dividend deterioration, and interest rate sensitivity. No permanent CEO has been appointed 22+ months after Todd Meredith's November 2024 departure -- while interim CEO Connie Moore has delivered impressive operational results, the prolonged vacancy signals board dysfunction or difficulty attracting top talent to a mid-cap REIT with a declining stock price [2]. The 22.6% dividend cut in 2025 destroyed income investor confidence: the $0.96 annual dividend is 22% below the 2024 level, with 0% consecutive years of growth and a negative 5-year CAGR of -5% [6]. GAAP metrics remain structurally poor (ROE -1.92%, profit margin -7.57%) due to REIT depreciation accounting, and D/E of 103% with $4B+ total debt (6.1x Debt/EBITDA) requires ongoing capital markets access in an elevated rate environment [6]. Revenue has been declining as asset dispositions offset organic NOI growth, and the 3.15M daily volume represents reduced liquidity from earlier periods. Competition from Healthpeak and Welltower for premium medical office assets continues to intensify, and Glassdoor's 2.9/5 culture/values score suggests internal challenges during the leadership transition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operational momentum -- twice-raised FFO guidance ($1.62-$1.66), Q2 same-store NOI growth of 5.1%, and same-store guidance raised to 4.25%-5.00% demonstrate portfolio quality improvement that could drive P/FFO multiple expansion from current 13.5x toward sector-appropriate 16-18x [1][3]</w:t>
      </w:r>
    </w:p>
    <w:p>
      <w:pPr>
        <w:spacing w:before="40" w:after="40"/>
        <w:ind w:left="283"/>
      </w:pPr>
      <w:r>
        <w:rPr>
          <w:rFonts w:ascii="Calibri" w:hAnsi="Calibri"/>
          <w:b/>
          <w:color w:val="4A6B25"/>
          <w:sz w:val="20"/>
        </w:rPr>
        <w:t xml:space="preserve">2. </w:t>
      </w:r>
      <w:r>
        <w:rPr>
          <w:rFonts w:ascii="Calibri" w:hAnsi="Calibri"/>
          <w:b w:val="0"/>
          <w:color w:val="3A4A28"/>
          <w:sz w:val="20"/>
        </w:rPr>
        <w:t>Permanent CEO appointment providing strategic clarity and restoring investor confidence -- the current 13.5x P/FFO discount vs peers reflects leadership uncertainty that would narrow with a strong hire [2]</w:t>
      </w:r>
    </w:p>
    <w:p>
      <w:pPr>
        <w:spacing w:before="40" w:after="40"/>
        <w:ind w:left="283"/>
      </w:pPr>
      <w:r>
        <w:rPr>
          <w:rFonts w:ascii="Calibri" w:hAnsi="Calibri"/>
          <w:b/>
          <w:color w:val="4A6B25"/>
          <w:sz w:val="20"/>
        </w:rPr>
        <w:t xml:space="preserve">3. </w:t>
      </w:r>
      <w:r>
        <w:rPr>
          <w:rFonts w:ascii="Calibri" w:hAnsi="Calibri"/>
          <w:b w:val="0"/>
          <w:color w:val="3A4A28"/>
          <w:sz w:val="20"/>
        </w:rPr>
        <w:t>Healthcare demographic tailwinds -- aging baby boomer population driving outpatient volume growth across the 660-property, 40M+ sq ft portfolio with embedded rent escalators, 93.5% tenant retention, and strong cash leasing spreads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Leadership vacancy risk -- no permanent CEO 22+ months after Todd Meredith's departure; prolonged interim management signals potential board dysfunction or difficulty attracting talent, creating strategic drift risk [2]</w:t>
      </w:r>
    </w:p>
    <w:p>
      <w:pPr>
        <w:spacing w:before="40" w:after="40"/>
        <w:ind w:left="283"/>
      </w:pPr>
      <w:r>
        <w:rPr>
          <w:rFonts w:ascii="Calibri" w:hAnsi="Calibri"/>
          <w:b/>
          <w:color w:val="4A6B25"/>
          <w:sz w:val="20"/>
        </w:rPr>
        <w:t xml:space="preserve">2. </w:t>
      </w:r>
      <w:r>
        <w:rPr>
          <w:rFonts w:ascii="Calibri" w:hAnsi="Calibri"/>
          <w:b w:val="0"/>
          <w:color w:val="3A4A28"/>
          <w:sz w:val="20"/>
        </w:rPr>
        <w:t>Dividend deterioration -- 22.6% cut in 2025, 0% growth since, and negative 5yr CAGR of -5% signal income unreliability that deters REIT income investors seeking growth; further cuts cannot be ruled out if dispositions reduce the FFO base [6]</w:t>
      </w:r>
    </w:p>
    <w:p>
      <w:pPr>
        <w:spacing w:before="40" w:after="40"/>
        <w:ind w:left="283"/>
      </w:pPr>
      <w:r>
        <w:rPr>
          <w:rFonts w:ascii="Calibri" w:hAnsi="Calibri"/>
          <w:b/>
          <w:color w:val="4A6B25"/>
          <w:sz w:val="20"/>
        </w:rPr>
        <w:t xml:space="preserve">3. </w:t>
      </w:r>
      <w:r>
        <w:rPr>
          <w:rFonts w:ascii="Calibri" w:hAnsi="Calibri"/>
          <w:b w:val="0"/>
          <w:color w:val="3A4A28"/>
          <w:sz w:val="20"/>
        </w:rPr>
        <w:t>Interest rate sensitivity -- 103% D/E and 6.1x Debt/EBITDA require ongoing capital markets access; elevated rates compress cap rate spreads, increase refinancing costs, and reduce the relative attractiveness of the 5.04% yield versus risk-free alternatives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Healthcare real estate is structurally immune to AI disruption -- physical medical outpatient buildings cannot be replaced by software, and the demand for in-person healthcare visits, diagnostic imaging, outpatient procedures, and surgical centers requires physical facilities with specialized infrastructure [1]. Healthcare Realty's properties are leased under long-term contracts to hospital systems and physician groups, creating contractual revenue stability regardless of technological change. Telemedicine adoption has plateaued well below early pandemic projections, and outpatient surgical centers, imaging facilities, and specialty care require physical presence. AI may actually increase healthcare utilization by expanding access to diagnosis and reducing barriers to care, driving more patient volume through medical office buildings [1]. AI Opportunity (0/1): Healthcare Realty does not generate AI-related revenue. The company operates physical real estate assets without technology product offerings. The mentioned 'data analytics platform' is an internal operational tool, not a revenue-generating AI product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Healthcare Realty Trust Q1 2026 Earnings -- Record 6.9% Same-Store NOI Growth, 92.3% Occupancy, 2M sqft Leasing, FFO Guidance Raised to $1.59-$1.65, May 2026</w:t>
      </w:r>
    </w:p>
    <w:p>
      <w:pPr>
        <w:spacing w:before="20" w:after="20"/>
        <w:ind w:left="170"/>
      </w:pPr>
      <w:r>
        <w:rPr>
          <w:rFonts w:ascii="Calibri" w:hAnsi="Calibri"/>
          <w:b/>
          <w:color w:val="4A6B25"/>
          <w:sz w:val="15"/>
        </w:rPr>
        <w:t xml:space="preserve">2. </w:t>
      </w:r>
      <w:r>
        <w:rPr>
          <w:rFonts w:ascii="Calibri" w:hAnsi="Calibri"/>
          <w:b w:val="0"/>
          <w:color w:val="3A4A28"/>
          <w:sz w:val="17"/>
        </w:rPr>
        <w:t>Healthcare Realty Trust Leadership Transition -- CEO Todd Meredith Departure (Nov 2024), Interim CEO Constance Moore, New CFO/GC, CEO Search Ongoing, 2024-2026</w:t>
      </w:r>
    </w:p>
    <w:p>
      <w:pPr>
        <w:spacing w:before="20" w:after="20"/>
        <w:ind w:left="170"/>
      </w:pPr>
      <w:r>
        <w:rPr>
          <w:rFonts w:ascii="Calibri" w:hAnsi="Calibri"/>
          <w:b/>
          <w:color w:val="4A6B25"/>
          <w:sz w:val="15"/>
        </w:rPr>
        <w:t xml:space="preserve">3. </w:t>
      </w:r>
      <w:r>
        <w:rPr>
          <w:rFonts w:ascii="Calibri" w:hAnsi="Calibri"/>
          <w:b w:val="0"/>
          <w:color w:val="3A4A28"/>
          <w:sz w:val="17"/>
        </w:rPr>
        <w:t>Healthcare Realty Trust Q2 2026 Results -- Same-Store NOI Growth 5.1%, FFO Guidance Raised Again to $1.62-$1.66/Share, Same-Store Guidance 4.25%-5.00%, July 2026</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Healthcare Realty Trust: 3.7/5 WLB, 2.9/5 Culture/Values, 52% Recommend,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Healthcare Realty Trust ESG -- GRESB Score 76 Green Star, ISS ESG 'Prime', 69 Green Certifications, 2024 Corporate Responsibility Report</w:t>
      </w:r>
    </w:p>
    <w:p>
      <w:pPr>
        <w:spacing w:before="20" w:after="20"/>
        <w:ind w:left="170"/>
      </w:pPr>
      <w:r>
        <w:rPr>
          <w:rFonts w:ascii="Calibri" w:hAnsi="Calibri"/>
          <w:b/>
          <w:color w:val="4A6B25"/>
          <w:sz w:val="15"/>
        </w:rPr>
        <w:t xml:space="preserve">6. </w:t>
      </w:r>
      <w:r>
        <w:rPr>
          <w:rFonts w:ascii="Calibri" w:hAnsi="Calibri"/>
          <w:b w:val="0"/>
          <w:color w:val="3A4A28"/>
          <w:sz w:val="17"/>
        </w:rPr>
        <w:t>StockAnalysis.com -- HR Key Statistics: Price $19.04, P/FFO 13.53, D/E 103%, Dividend Yield 5.04%, Avg Volume 3.15M,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