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HSBC</w:t>
      </w:r>
      <w:r>
        <w:rPr>
          <w:rFonts w:ascii="Calibri" w:hAnsi="Calibri"/>
          <w:b/>
          <w:color w:val="1A2010"/>
          <w:sz w:val="40"/>
        </w:rPr>
        <w:t xml:space="preserve">  HSBC Holdings plc</w:t>
      </w:r>
    </w:p>
    <w:p>
      <w:pPr>
        <w:spacing w:after="120"/>
      </w:pPr>
      <w:r>
        <w:rPr>
          <w:rFonts w:ascii="Calibri" w:hAnsi="Calibri"/>
          <w:b/>
          <w:color w:val="6E8450"/>
          <w:sz w:val="18"/>
        </w:rPr>
        <w:t>DIVIDEND SLEEVE · 2026-09-10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United Kingdom</w:t>
      </w:r>
    </w:p>
    <w:p>
      <w:pPr>
        <w:spacing w:after="80"/>
      </w:pPr>
      <w:r>
        <w:rPr>
          <w:rFonts w:ascii="Calibri" w:hAnsi="Calibri"/>
          <w:b w:val="0"/>
          <w:color w:val="3A4A28"/>
          <w:sz w:val="20"/>
        </w:rPr>
        <w:t>HSBC Holdings is one of the world's largest banking and financial services organizations, serving approximately 41 million customers through its three global businesses: Wealth and Personal Banking, Commercial Banking, and Global Banking and Markets. Headquartered in London with its largest operations in Asia, HSBC operates in 60+ countries and territories. Under CEO Georges Elhedery (appointed 2024), the bank is executing a strategic transformation — exiting non-core markets including US retail, Canada, and France — to refocus on its dominant Asia-Pacific franchise and international trade finance network.</w:t>
      </w:r>
    </w:p>
    <w:p>
      <w:r>
        <w:rPr>
          <w:rFonts w:ascii="Calibri" w:hAnsi="Calibri"/>
          <w:b/>
          <w:color w:val="6E8450"/>
          <w:sz w:val="18"/>
        </w:rPr>
        <w:t>214,000 Employees · https://www.hsbc.com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HSBC has executed one of the most aggressive strategic transformations in global banking, exiting US retail (sold to Citizens Financial), Canada (sold to Royal Bank of Canada), and France (sold to Banque Postale) to refocus on its core Asia-Pacific and international banking franchise [1][2]. These divestitures involved billions in assets and fundamentally repositioned the bank's geographic and business mix. AI Deployment (1/2): HSBC appointed David Rice as its first Chief AI Officer effective April 2026, elevating AI from a technology function to a strategic priority — a structural commitment that separates HSBC from most global banks where AI sits under the CTO [2]. CEO Elhedery identified AI as a primary driver for achieving 17%+ RoTE targets, and the bank is deploying coding assistants and generative AI tools across operations, though specific dollar savings or AI product revenue have not been quantified. Market Share (1/2): HSBC is the world's largest trade finance bank and a leading wealth manager in Asia, with a dominant franchise in Hong Kong, China, and Southeast Asia that no competitor can easily replicate [1]. However, it is not the overall global banking market share leader (JPMorgan holds that distinction). Pipeline (1/2): HSBC targets 17%+ RoTE in each year from 2026-2028, 5% revenue growth by 2028, and has established a dedicated AI officer role to drive efficiency gains, providing strategic visibility without specific product-level pipeline detail [1]. R&amp;D Intensity (1/1): HSBC's appointment of a Chief AI Officer, bank-wide AI deployment, and technology investment budget exceed typical banking sector technology spend, placing the bank in the top tier for technology investment among global financial institutions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HSBC's stated purpose is 'Opening up a world of opportunity' — more distinctive than most banking peers and reflective of the company's role connecting global commerce across 60+ countries [2]. CEO Elhedery emphasizes 'leading by example' and 'integrity,' stating leaders must 'understand people.' The purpose connects meaningfully to HSBC's 160+ year history of facilitating international trade and capital flows. However, it remains aspirational language rather than a deeply validated cause proven through strategic sacrifice. Community Impact (1/2): HSBC operates in 60+ countries serving 41 million customers, with published ESG commitments to sustainable finance and net-zero transition, though no distinctive charitable foundation or community development programs beyond standard global bank CSR were identified [3]. Employee Retention (1/2): HSBC employs approximately 214,000 people globally. CEO Elhedery is implementing a bank-wide leadership program designed to 'make culture an enabler of strategy,' and the focus on instilling a 'culture of excellence, leadership and accountability' suggests organizational investment in people [2]. However, the CEO is new (appointed 2024) and no specific retention or tenure data was disclosed. Insider Buying (0/2): No specific data on net insider buying or selling by HSBC executives was found in available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HSBC delivers a strong financial profile anchored by the profitability of its Asia-Pacific franchise and accelerating results from strategic refocusing. H1 2026 pretax profit of $19.5B (+23% YoY) on revenue of $37.7B (+11%) beat analyst estimates, with banking NII guidance raised to at least $46B for the full year [1]. Forward P/E of 11.55x offers compelling valuation for a global bank targeting 17%+ RoTE through 2028. Net profit margin of 33.1% reflects HSBC's fee-rich business mix and disciplined cost management. The dividend, while rebuilt from a 2020 cut (forced by UK PRA regulation), now yields 3.60% with a 50% target payout ratio and 10% recent growth [4]. D/E of 155% is typical for a global bank's long-term borrowing structure. Mechanically scored (Dividend): D/E 155% scores 0.63 (1x), ROE 11.61% scores 0.77 (1x), Revenue Growth YoY 8.0% scores 0.93 (1x), Revenue Growth 5yr CAGR 4.0% scores 0.60 (1x), Forward P/E 11.55 scores 1.0 (1x), Profit Margin 33.1% scores 1.0 (1x), Payout Ratio 50% scores 0.83 (1x), Consecutive Years Paid 5 scores 0.50 (2x), Consecutive Years Growth 5 scores 0.50 (1x), 5yr Dividend Growth CAGR 10% scores 1.0 (2x). Weighted sum = 9.27, max = 12, score = 7.72, rounds to 8. Liquidity easily cleared: 4.0M avg vol x $103.73 = $414.9M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HSBC demonstrates strong infinite game characteristics, evidenced by 160+ years of continuous operation through world wars, financial crises, and geopolitical upheaval, combined with a bold willingness to fundamentally transform the business by exiting entire national markets in service of long-term strategic focus. The bank's recent decisions to sell US retail, Canada, and France operations represent genuine Courage to Lead — sacrificing near-term revenue for long-term geographic and strategic clarity.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HSBC's purpose — 'Opening up a world of opportunity' — is genuine and partially validated by 160+ years of connecting global commerce across Asia, Europe, the Middle East, and the Americas [1]. The bank's founding in 1865 to finance trade between Asia and the West, and its continuous evolution to serve international capital flows, demonstrates institutional permanence and consistency of purpose through colonial-era banking, two world wars, the Asian financial crisis, and the 2008 global financial crisis. However, the purpose, while authentic, is not so deeply distinctive that it drives all strategic decisions — the recent restructuring was at least partly driven by underperformance and activist pressure rather than purely cause-driven clarity.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HSBC employs approximately 214,000 people globally, and CEO Elhedery is implementing a bank-wide leadership programme designed to 'make culture an enabler of strategy,' emphasizing a 'culture of excellence, leadership and accountability' [2]. The bank's stated core values of 'leading by example' and 'integrity' suggest leadership investment in organizational trust. However, global banking cultures are notoriously hierarchical and performance-driven, recent leadership changes (CEO Elhedery appointed 2024) create organizational uncertainty, and the mass restructuring — exiting multiple national markets — inevitably disrupted teams and eroded psychological safety for affected employees.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HSBC explicitly positions itself relative to rivals like JPMorgan Chase, Standard Chartered, and Citigroup, and the strategic decision to exit US retail banking was partly an acknowledgment that competing head-to-head with JPMorgan in its home market was not a sustainable strategy [1]. The bank's refocusing on Asia and international trade finance reflects a recognition of where its own strengths lie and where rivals are stronger — a hallmark of infinite game competitive thinking. Management commentary focuses on leveraging HSBC's distinctive global network rather than defeating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HSBC has fundamentally reinvented its geographic and strategic footprint, exiting US retail banking (sold to Citizens Financial), selling its Canadian operations to Royal Bank of Canada, divesting its French operations to Banque Postale, and pivoting decisively to an Asia-first strategy under CEO Elhedery [1][2]. These were not incremental adjustments — they involved abandoning major national markets with billions in assets, accepting near-term revenue and earnings reduction, and betting the bank's future on its Asia-Pacific franchise and international connectivity. This is transformative flexibility of the highest order, comparable to the canonical examples in Sinek's framework.</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HSBC's leadership has demonstrated a clear pattern of costly long-term bets: exiting US retail banking (a major revenue source), selling Canada and France operations, and accepting billions in divestiture-related costs and near-term earnings impact in service of long-term strategic clarity [1]. CEO Elhedery committed to 17%+ RoTE through 2028, betting on AI transformation and Asia-focused growth over the safety of diversified global retail banking. The appointment of a dedicated Chief AI Officer (not just a CTO function) represents a structural commitment to technology-driven efficiency [2]. Maintaining the 50% dividend payout target through massive restructuring demonstrates commitment to shareholders despite operational upheaval. These are not easy decisions — they are the kind of courageous, long-term-oriented leadership that Sinek describes.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HSBC offers compelling value at 11.55x forward earnings for a global banking franchise that delivered H1 2026 pretax profit of $19.5B (+23% YoY) on revenue of $37.7B (+11%), beating analyst estimates and prompting resumption of stock buybacks [1]. The strategic transformation under CEO Elhedery — exiting US retail, Canada, and France to refocus on the dominant Asia-Pacific franchise and international trade finance network — is producing accelerating results. Banking NII guidance was raised to at least $46B for 2026, and the bank targets 17%+ RoTE through 2028 with 5% revenue growth by 2028 [1]. The 3.60% dividend yield with a disciplined 50% payout target and 10% recent dividend growth provides attractive income, and the AI-driven transformation — including a dedicated Chief AI Officer and plans for up to 20,000 AI-enabled job cuts — positions HSBC for significant operating leverage [2][4]. HSBC's 160-year global network connecting Asia, Europe, and the Middle East is an irreplaceable franchise asset.</w:t>
      </w:r>
    </w:p>
    <w:p>
      <w:pPr>
        <w:spacing w:after="120"/>
      </w:pPr>
      <w:r>
        <w:rPr>
          <w:rFonts w:ascii="Calibri" w:hAnsi="Calibri"/>
          <w:b w:val="0"/>
          <w:color w:val="3A4A28"/>
          <w:sz w:val="20"/>
        </w:rPr>
        <w:t>The bear case centers on geopolitical risk, the dividend's short track record, and structural challenges. HSBC's Asia-first strategy concentrates risk on China-US relations, Hong Kong regulatory uncertainty, and Chinese economic slowdown — if the CCP imposed capital controls, restricted foreign banking, or if US-China tensions escalated to sanctions affecting HSBC's operations, the bank's largest profit center would be directly impaired [1]. The dividend was cut to zero in 2020 under UK PRA order, and the current 5-year payment and growth track record is thin compared to peers with decades of uninterrupted increases; another crisis could trigger regulatory intervention again [4]. ROE of 11.61% trails the 17.2% RoTE figure because book equity includes goodwill and intangibles from the bank's global expansion era. The D/E ratio of 155% is typical for banking but represents structural leverage risk in a credit downturn. A coalition of 30 institutional investors managing $1.6 trillion has publicly pressured HSBC to recommit to net zero climate goals after 'deeply concerning signals' including the dismantling of the ESG Committee in March 2025, creating credibility risk with ESG-focused capital [3]. The Inspire score of -49 (MISALIGNED) due to LGBT Activism may be a consideration for faith-aligned investors. The stock at $103.73 reflects strong price appreciation that may have priced in much of the restructuring benefit.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efficiency gains through the newly appointed Chief AI Officer role, with generative AI and coding assistants deployed across operations targeting cost savings that support the 17%+ RoTE target through 2028 [2]</w:t>
      </w:r>
    </w:p>
    <w:p>
      <w:pPr>
        <w:spacing w:before="40" w:after="40"/>
        <w:ind w:left="283"/>
      </w:pPr>
      <w:r>
        <w:rPr>
          <w:rFonts w:ascii="Calibri" w:hAnsi="Calibri"/>
          <w:b/>
          <w:color w:val="4A6B25"/>
          <w:sz w:val="20"/>
        </w:rPr>
        <w:t xml:space="preserve">2. </w:t>
      </w:r>
      <w:r>
        <w:rPr>
          <w:rFonts w:ascii="Calibri" w:hAnsi="Calibri"/>
          <w:b w:val="0"/>
          <w:color w:val="3A4A28"/>
          <w:sz w:val="20"/>
        </w:rPr>
        <w:t>Asia-Pacific growth acceleration as the strategic refocusing on HSBC's dominant Hong Kong, China, and Southeast Asia franchise drives revenue growth toward the 5% annual target by 2028, supported by rising Asian wealth management demand [1]</w:t>
      </w:r>
    </w:p>
    <w:p>
      <w:pPr>
        <w:spacing w:before="40" w:after="40"/>
        <w:ind w:left="283"/>
      </w:pPr>
      <w:r>
        <w:rPr>
          <w:rFonts w:ascii="Calibri" w:hAnsi="Calibri"/>
          <w:b/>
          <w:color w:val="4A6B25"/>
          <w:sz w:val="20"/>
        </w:rPr>
        <w:t xml:space="preserve">3. </w:t>
      </w:r>
      <w:r>
        <w:rPr>
          <w:rFonts w:ascii="Calibri" w:hAnsi="Calibri"/>
          <w:b w:val="0"/>
          <w:color w:val="3A4A28"/>
          <w:sz w:val="20"/>
        </w:rPr>
        <w:t>Continued dividend growth from the 50% payout ratio target — with $29.9B pre-tax profit and a disciplined capital return framework, HSBC has significant capacity for sustained double-digit dividend increases as restructuring costs decline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Geopolitical concentration risk — HSBC's Asia-first strategy creates acute exposure to China-US tensions, Hong Kong regulatory changes, and Chinese economic slowdown that could impair the bank's largest and most profitable market [1]</w:t>
      </w:r>
    </w:p>
    <w:p>
      <w:pPr>
        <w:spacing w:before="40" w:after="40"/>
        <w:ind w:left="283"/>
      </w:pPr>
      <w:r>
        <w:rPr>
          <w:rFonts w:ascii="Calibri" w:hAnsi="Calibri"/>
          <w:b/>
          <w:color w:val="4A6B25"/>
          <w:sz w:val="20"/>
        </w:rPr>
        <w:t xml:space="preserve">2. </w:t>
      </w:r>
      <w:r>
        <w:rPr>
          <w:rFonts w:ascii="Calibri" w:hAnsi="Calibri"/>
          <w:b w:val="0"/>
          <w:color w:val="3A4A28"/>
          <w:sz w:val="20"/>
        </w:rPr>
        <w:t>Dividend fragility — the 2020 PRA-forced dividend cancellation demonstrated that UK regulators can and will suspend bank dividends during crises, and the 5-year track record since resumption provides limited confidence in sustainability through the next downturn [4]</w:t>
      </w:r>
    </w:p>
    <w:p>
      <w:pPr>
        <w:spacing w:before="40" w:after="40"/>
        <w:ind w:left="283"/>
      </w:pPr>
      <w:r>
        <w:rPr>
          <w:rFonts w:ascii="Calibri" w:hAnsi="Calibri"/>
          <w:b/>
          <w:color w:val="4A6B25"/>
          <w:sz w:val="20"/>
        </w:rPr>
        <w:t xml:space="preserve">3. </w:t>
      </w:r>
      <w:r>
        <w:rPr>
          <w:rFonts w:ascii="Calibri" w:hAnsi="Calibri"/>
          <w:b w:val="0"/>
          <w:color w:val="3A4A28"/>
          <w:sz w:val="20"/>
        </w:rPr>
        <w:t>ESG and climate credibility risk — a coalition of 30 institutional investors representing $1.6 trillion in assets publicly urged HSBC to recommit to net zero goals citing 'deeply concerning signals' of deprioritization, and the bank dismantled its ESG Committee in March 2025; combined with the -49 Inspire score, these create investor relations challenges from multiple directions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HSBC's core banking business faces moderate AI exposure. The bank's international trade finance network, relationship-driven commercial banking, and wealth management franchise have meaningful defensive moats — regulatory requirements, capital adequacy rules, trust relationships, and global connectivity that AI cannot easily replicate [1][2]. However, AI-driven fintech competitors are increasingly disrupting retail banking, payments, and basic lending — areas HSBC has partially exited but that remain relevant. Automated trading, robo-advisory, and AI-powered underwriting platforms could compress margins in certain business lines. The bank's 160-year global network and regulatory moats provide structural protection, but some segments face real AI-driven competitive pressure. AI Opportunity (1/1): HSBC is among the most aggressive AI adopters in global banking — CEO Elhedery told staff not to resist AI changes, the bank appointed David Rice as its first Chief AI Officer in April 2026, and reports indicate plans for up to 20,000 AI-driven job cuts as generative AI tools are deployed across all staff for process simplification and customer-facing personalization [2]. The scale of the planned AI-driven workforce transformation represents a material cost reduction opportunity that directly supports the 17%+ RoTE target.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HSBC Holdings 2025 Annual and H1 2026 Results — 2025 profit before tax $29.9B, revenue $68.3B; H1 2026 pretax profit $19.5B (+23%), revenue $37.7B (+11%), banking NII guidance raised to at least $46B, resumed stock buybacks, targeting 17%+ RoTE 2026-2028, February-August 2026</w:t>
      </w:r>
    </w:p>
    <w:p>
      <w:pPr>
        <w:spacing w:before="20" w:after="20"/>
        <w:ind w:left="170"/>
      </w:pPr>
      <w:r>
        <w:rPr>
          <w:rFonts w:ascii="Calibri" w:hAnsi="Calibri"/>
          <w:b/>
          <w:color w:val="4A6B25"/>
          <w:sz w:val="15"/>
        </w:rPr>
        <w:t xml:space="preserve">2. </w:t>
      </w:r>
      <w:r>
        <w:rPr>
          <w:rFonts w:ascii="Calibri" w:hAnsi="Calibri"/>
          <w:b w:val="0"/>
          <w:color w:val="3A4A28"/>
          <w:sz w:val="17"/>
        </w:rPr>
        <w:t>HSBC AI and Leadership Strategy — CEO Georges Elhedery urged staff not to resist AI changes, Chief AI Officer David Rice appointed April 2026, up to 20,000 AI-driven job cuts planned, generative AI deployed to all staff, coding assistants across operations, May 2026</w:t>
      </w:r>
    </w:p>
    <w:p>
      <w:pPr>
        <w:spacing w:before="20" w:after="20"/>
        <w:ind w:left="170"/>
      </w:pPr>
      <w:r>
        <w:rPr>
          <w:rFonts w:ascii="Calibri" w:hAnsi="Calibri"/>
          <w:b/>
          <w:color w:val="4A6B25"/>
          <w:sz w:val="15"/>
        </w:rPr>
        <w:t xml:space="preserve">3. </w:t>
      </w:r>
      <w:r>
        <w:rPr>
          <w:rFonts w:ascii="Calibri" w:hAnsi="Calibri"/>
          <w:b w:val="0"/>
          <w:color w:val="3A4A28"/>
          <w:sz w:val="17"/>
        </w:rPr>
        <w:t>HSBC ESG and Controversies — ESG Committee dismantled March 2025, 30 investors ($1.6T AUM) pressuring HSBC to recommit to net zero goals, MSCI ESG rating AA, fossil fuel financing criticism, 2025-2026</w:t>
      </w:r>
    </w:p>
    <w:p>
      <w:pPr>
        <w:spacing w:before="20" w:after="20"/>
        <w:ind w:left="170"/>
      </w:pPr>
      <w:r>
        <w:rPr>
          <w:rFonts w:ascii="Calibri" w:hAnsi="Calibri"/>
          <w:b/>
          <w:color w:val="4A6B25"/>
          <w:sz w:val="15"/>
        </w:rPr>
        <w:t xml:space="preserve">4. </w:t>
      </w:r>
      <w:r>
        <w:rPr>
          <w:rFonts w:ascii="Calibri" w:hAnsi="Calibri"/>
          <w:b w:val="0"/>
          <w:color w:val="3A4A28"/>
          <w:sz w:val="17"/>
        </w:rPr>
        <w:t>HSBC Dividend and Valuation — stock $103.73, PE 16.31, Forward PE 11.55, dividend yield 3.60%, $3.73/share annual, 50% payout target, 5 years of payment since 2020 resumption, 10% recent growth,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