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HSY</w:t>
      </w:r>
      <w:r>
        <w:rPr>
          <w:rFonts w:ascii="Calibri" w:hAnsi="Calibri"/>
          <w:b/>
          <w:color w:val="1A2010"/>
          <w:sz w:val="40"/>
        </w:rPr>
        <w:t xml:space="preserve">  The Hershey Company</w:t>
      </w:r>
    </w:p>
    <w:p>
      <w:pPr>
        <w:spacing w:after="120"/>
      </w:pPr>
      <w:r>
        <w:rPr>
          <w:rFonts w:ascii="Calibri" w:hAnsi="Calibri"/>
          <w:b/>
          <w:color w:val="6E8450"/>
          <w:sz w:val="18"/>
        </w:rPr>
        <w:t>DIVIDEND SLEEVE · 2026-09-11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Confectioners · NYSE · United States</w:t>
      </w:r>
    </w:p>
    <w:p>
      <w:pPr>
        <w:spacing w:after="80"/>
      </w:pPr>
      <w:r>
        <w:rPr>
          <w:rFonts w:ascii="Calibri" w:hAnsi="Calibri"/>
          <w:b w:val="0"/>
          <w:color w:val="3A4A28"/>
          <w:sz w:val="20"/>
        </w:rPr>
        <w:t>The Hershey Company manufactures and markets chocolate, confectionery, and salty snack products including Hershey's, Reese's, Kit Kat, Jolly Rancher, and SkinnyPop, sold across North America and internationally. Founded by Milton Hershey in 1894 and headquartered in Hershey, Pennsylvania, the company is majority-controlled by the Milton Hershey School Trust, whose returns fund a residential school for underprivileged children. CEO Kirk Tanner, in his second year leading the company, unveiled a 'One Hershey' integrated strategy at the March 2026 Investor Day centered on brands, innovation, and AI-enabled operations.</w:t>
      </w:r>
    </w:p>
    <w:p>
      <w:r>
        <w:rPr>
          <w:rFonts w:ascii="Calibri" w:hAnsi="Calibri"/>
          <w:b/>
          <w:color w:val="6E8450"/>
          <w:sz w:val="18"/>
        </w:rPr>
        <w:t>20,000 Employees · https://www.thehersheycompany.com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Hershey diversified beyond core confectionery with the LesserEvil salty-snacks acquisition, and Q2 2026 net sales grew 6.6% YoY to $2.79B with adjusted EPS up 57% as pricing actions and falling cocoa costs took hold, though the company remains fundamentally a chocolate and snacks manufacturer rather than a reinvented business [1]. AI Deployment (1/2): At its March 2026 Investor Day, Hershey unveiled a 'One Hershey' strategy explicitly built around 'AI decision-making' across sourcing analytics, plant automation, and fulfillment (building on the existing Aera Technology partnership), though no specific dollar savings from AI have been disclosed [2]. Market Share (1/2): Hershey holds the #1 position in U.S. confectionery, but no specific recent share-gain data was identified in available research. Product Pipeline (1/2): The 'One Hershey' go-to-market model unifies sweet, salty, and functional snacking with stated 'next generation snacking' ambitions, but specific next-gen products with named launch dates were not identified beyond continued LesserEvil integration and pricing actions [2]. R&amp;D Intensity (0/1): No R&amp;D-to-revenue disclosure relative to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Hershey's purpose of 'making more moments of goodness' traces directly to founder Milton Hershey's 1909 decision to give away his entire ownership stake in the company to endow the Milton Hershey School for orphaned and underprivileged children — a structural commitment that has persisted for over 115 years and remains embedded in governance today via the Trust's controlling voting interest, unaffected by the CEO transition to Kirk Tanner [3]. Community Impact (2/2): The Trust's multibillion-dollar endowment, funded substantially by Hershey stock, provides full scholarships, housing, and support to thousands of children — a distinctive, structurally embedded community investment with few peers in corporate America [3]. Employee Retention (1/2): No new turnover or tenure data was identified this quarter; the prior mixed signal (Great Place to Work certification alongside Glassdoor reports of cultural friction during the leadership transition) persists [4]. Insider Buying (0/2): No evidence of meaningful net insider buying by Kirk Tanner or other executives was identified since his August 2025 appointment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payer; liquidity floor is cleared by a wide margin ($1.13M avg daily volume x $174.34 = ~$197M) [5]. Q2 2026 net sales rose 6.6% YoY to $2.79B with adjusted EPS surging 57% as cocoa cost relief and pricing actions took hold, and ROE of 32.81% and a 18.8x forward P/E reflect a quality franchise strengthening further from the prior quarter [1][5]. Hershey is a Dividend King with roughly 97 consecutive years of dividend payments and 51 consecutive years of increases (a 6% hike to $1.452/share declared February 2026), and the 5-year dividend growth CAGR of ~11.9% comfortably clears the target; the trailing payout ratio has improved sharply to 79.4% as earnings caught up with the payout following the 2024-2025 cocoa cost spike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Hershey remains one of the clearest examples of an infinite-game company in the IOWN universe: founder Milton Hershey's 1909 decision to give away his ownership stake to endow a school for underprivileged children created a Just Cause that is structurally embedded in the company's governance and has now survived a full year under new CEO Kirk Tanner without disruption. Management's willingness to absorb the 2024-2025 cocoa cost spike without cutting the dividend, and the March 2026 unveiling of a unifying 'One Hershey' strategy, reflect continued prioritization of long-term commitments over short-term optics, even as Q2 2026 supply-chain constraints in salty snacks weighed on margins.</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Milton Hershey's 1909 gift of his entire ownership stake to found the Milton Hershey School has structurally bound the company's purpose to 'making more moments of goodness' for over a century — the Trust's controlling votes ensured this purpose survived the 2025 CEO transition to Kirk Tanner intact, as reaffirmed by the 'One Hershey' strategy unveiled at the March 2026 Investor Day [2][3].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Hershey remains Great Place to Work certified, a positive signal, and Kirk Tanner's 'One Hershey' model aims to unify teams across sweet, salty, and functional snacking, but no updated tenure/turnover data was identified this quarter to support a higher score beyond the prior mixed culture signal [2][4].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Hershey publicly framing its competitive strategy around learning from rivals rather than beating them; available commentary continues to focus on category leadership and pricing power rather than a stated worthy-rivals philosophy.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LesserEvil acquisition and the new 'One Hershey' integrated go-to-market model extend Hershey into 'better-for-you' salty snacks and unify the portfolio strategically, a genuine adjacent-market diversification, but the company remains overwhelmingly a core confectionery business rather than having undergone a transformative reinvention [1][2].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Hershey extended its Dividend King streak with a 6% dividend increase in February 2026 even as Q2 2026 salty-snack supply-chain constraints (reliance on expensive spot freight) pressured segment margins, choosing to maintain shareholder commitments and long-term brand investment rather than pull back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Hershey's cocoa cost relief is now clearly showing up in results: Q2 2026 net sales rose 6.6% YoY to $2.79B and adjusted EPS surged 57% to $1.90, beating consensus, as pricing actions and falling input costs expanded adjusted gross margins by 350 basis points, prompting management to tighten full-year 2026 guidance to 4.5-5% net sales growth and 32.5-35% adjusted EPS growth [1]. As a Dividend King with roughly 97 consecutive years of dividend payments, 51 consecutive years of increases (a 6% hike to $1.452/share in February 2026), and a 5-year dividend growth CAGR near 11.9%, Hershey combines category-leading brand equity (Hershey's, Reese's, Kit Kat) with a structurally embedded Just Cause via the Milton Hershey School Trust's controlling ownership [3][5][6].</w:t>
      </w:r>
    </w:p>
    <w:p>
      <w:pPr>
        <w:spacing w:after="120"/>
      </w:pPr>
      <w:r>
        <w:rPr>
          <w:rFonts w:ascii="Calibri" w:hAnsi="Calibri"/>
          <w:b w:val="0"/>
          <w:color w:val="3A4A28"/>
          <w:sz w:val="20"/>
        </w:rPr>
        <w:t>The main financial improvement is the sharply lower trailing payout ratio (79.4%, down from 105% a quarter earlier) as earnings caught up with the dividend, though Hershey still carries D/E of 130% and a modest ~6.9% five-year revenue CAGR, reflecting a mature, largely single-category business. Supply-chain constraints in the salty-snacks segment — reliance on expensive spot freight — caused operating margins to miss expectations in Q2 2026, and Hershey remains exposed to renewed cocoa volatility, ongoing child-labor litigation risk in its West African supply chain (an estimated 1.56 million children still engage in hazardous cocoa farm work across Ghana and Côte d'Ivoire), and continued execution risk under still-newer CEO Kirk Tanner [1][2][4][7].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adjusted EPS growth toward the raised 32.5-35% FY2026 guidance as cocoa cost deflation and pricing realization compound</w:t>
      </w:r>
    </w:p>
    <w:p>
      <w:pPr>
        <w:spacing w:before="40" w:after="40"/>
        <w:ind w:left="283"/>
      </w:pPr>
      <w:r>
        <w:rPr>
          <w:rFonts w:ascii="Calibri" w:hAnsi="Calibri"/>
          <w:b/>
          <w:color w:val="4A6B25"/>
          <w:sz w:val="20"/>
        </w:rPr>
        <w:t xml:space="preserve">2. </w:t>
      </w:r>
      <w:r>
        <w:rPr>
          <w:rFonts w:ascii="Calibri" w:hAnsi="Calibri"/>
          <w:b w:val="0"/>
          <w:color w:val="3A4A28"/>
          <w:sz w:val="20"/>
        </w:rPr>
        <w:t>Resolution of salty-snacks supply-chain constraints (spot freight reliance) that pressured Q2 2026 segment margins, unlocking further margin upside</w:t>
      </w:r>
    </w:p>
    <w:p>
      <w:pPr>
        <w:spacing w:before="40" w:after="40"/>
        <w:ind w:left="283"/>
      </w:pPr>
      <w:r>
        <w:rPr>
          <w:rFonts w:ascii="Calibri" w:hAnsi="Calibri"/>
          <w:b/>
          <w:color w:val="4A6B25"/>
          <w:sz w:val="20"/>
        </w:rPr>
        <w:t xml:space="preserve">3. </w:t>
      </w:r>
      <w:r>
        <w:rPr>
          <w:rFonts w:ascii="Calibri" w:hAnsi="Calibri"/>
          <w:b w:val="0"/>
          <w:color w:val="3A4A28"/>
          <w:sz w:val="20"/>
        </w:rPr>
        <w:t>'One Hershey' AI-enabled decision-making and integrated go-to-market model scaling growth outside the core, slow-growing confectionery category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Salty-snacks supply-chain and freight-cost constraints could persist and continue to weigh on segment operating margins even as core confectionery improves</w:t>
      </w:r>
    </w:p>
    <w:p>
      <w:pPr>
        <w:spacing w:before="40" w:after="40"/>
        <w:ind w:left="283"/>
      </w:pPr>
      <w:r>
        <w:rPr>
          <w:rFonts w:ascii="Calibri" w:hAnsi="Calibri"/>
          <w:b/>
          <w:color w:val="4A6B25"/>
          <w:sz w:val="20"/>
        </w:rPr>
        <w:t xml:space="preserve">2. </w:t>
      </w:r>
      <w:r>
        <w:rPr>
          <w:rFonts w:ascii="Calibri" w:hAnsi="Calibri"/>
          <w:b w:val="0"/>
          <w:color w:val="3A4A28"/>
          <w:sz w:val="20"/>
        </w:rPr>
        <w:t>Ongoing child-labor litigation risk and Hershey's acknowledgment that eradicating child labor from its West African cocoa supply chain remains an unmet, multi-decade challenge creates reputational and regulatory exposure</w:t>
      </w:r>
    </w:p>
    <w:p>
      <w:pPr>
        <w:spacing w:before="40" w:after="40"/>
        <w:ind w:left="283"/>
      </w:pPr>
      <w:r>
        <w:rPr>
          <w:rFonts w:ascii="Calibri" w:hAnsi="Calibri"/>
          <w:b/>
          <w:color w:val="4A6B25"/>
          <w:sz w:val="20"/>
        </w:rPr>
        <w:t xml:space="preserve">3. </w:t>
      </w:r>
      <w:r>
        <w:rPr>
          <w:rFonts w:ascii="Calibri" w:hAnsi="Calibri"/>
          <w:b w:val="0"/>
          <w:color w:val="3A4A28"/>
          <w:sz w:val="20"/>
        </w:rPr>
        <w:t>D/E of 130% and a modest ~6.9% five-year revenue CAGR reflect a mature single-category business with limited structural growth absent further M&amp;A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Hershey's business is physically manufactured, branded confectionery sold through entrenched retail relationships — a category structurally immune to AI substitution, and no analyst commentary was found suggesting AI threatens Hershey's core earnings power. Hershey continues deploying AI as an efficiency tool: the March 2026 Investor Day formalized 'AI decision-making' as a pillar of the 'One Hershey' strategy, building on the existing Aera Technology supply-chain partnership [2]. AI Opportunity (0/1): Hershey does not sell AI products or disclose AI-attributable revenue; its AI use remains an internal cost/efficiency initiative rather than a revenue driver, so it does not qualify for the AI opportunity tiebreaker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Hershey Q2 2026 Results and Tightened FY2026 Guidance — Hershey 8-K/Earnings Call Transcript, Investing.com, Yahoo Finance, ConfectioneryNews, July 30, 2026</w:t>
      </w:r>
    </w:p>
    <w:p>
      <w:pPr>
        <w:spacing w:before="20" w:after="20"/>
        <w:ind w:left="170"/>
      </w:pPr>
      <w:r>
        <w:rPr>
          <w:rFonts w:ascii="Calibri" w:hAnsi="Calibri"/>
          <w:b/>
          <w:color w:val="4A6B25"/>
          <w:sz w:val="15"/>
        </w:rPr>
        <w:t xml:space="preserve">2. </w:t>
      </w:r>
      <w:r>
        <w:rPr>
          <w:rFonts w:ascii="Calibri" w:hAnsi="Calibri"/>
          <w:b w:val="0"/>
          <w:color w:val="3A4A28"/>
          <w:sz w:val="17"/>
        </w:rPr>
        <w:t>Hershey Investor Day 2026 — 'One Hershey' Strategy and AI Decision-Making — thehersheycompany.com, Yahoo Finance, AI.cc, March 2026</w:t>
      </w:r>
    </w:p>
    <w:p>
      <w:pPr>
        <w:spacing w:before="20" w:after="20"/>
        <w:ind w:left="170"/>
      </w:pPr>
      <w:r>
        <w:rPr>
          <w:rFonts w:ascii="Calibri" w:hAnsi="Calibri"/>
          <w:b/>
          <w:color w:val="4A6B25"/>
          <w:sz w:val="15"/>
        </w:rPr>
        <w:t xml:space="preserve">3. </w:t>
      </w:r>
      <w:r>
        <w:rPr>
          <w:rFonts w:ascii="Calibri" w:hAnsi="Calibri"/>
          <w:b w:val="0"/>
          <w:color w:val="3A4A28"/>
          <w:sz w:val="17"/>
        </w:rPr>
        <w:t>Milton Hershey School / Shared Goodness Promise — Milton Hershey School, thehersheycompany.com,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Hershey Leadership and Culture — Glassdoor, Great Place to Work, accessed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HSY Key Statistics and Financials,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Hershey Dividend History and 6% February 2026 Increase — thehersheycompany.com press release, Benzinga, Simply Wall St, Digrin, 2026</w:t>
      </w:r>
    </w:p>
    <w:p>
      <w:pPr>
        <w:spacing w:before="20" w:after="20"/>
        <w:ind w:left="170"/>
      </w:pPr>
      <w:r>
        <w:rPr>
          <w:rFonts w:ascii="Calibri" w:hAnsi="Calibri"/>
          <w:b/>
          <w:color w:val="4A6B25"/>
          <w:sz w:val="15"/>
        </w:rPr>
        <w:t xml:space="preserve">7. </w:t>
      </w:r>
      <w:r>
        <w:rPr>
          <w:rFonts w:ascii="Calibri" w:hAnsi="Calibri"/>
          <w:b w:val="0"/>
          <w:color w:val="3A4A28"/>
          <w:sz w:val="17"/>
        </w:rPr>
        <w:t>Hershey Cocoa Supply Chain and Child Labor Controversy — Sustainalytics ESG Research, Humanium, Harbert/Auburn Case Study</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