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HTGC</w:t>
      </w:r>
      <w:r>
        <w:rPr>
          <w:rFonts w:ascii="Calibri" w:hAnsi="Calibri"/>
          <w:b/>
          <w:color w:val="1A2010"/>
          <w:sz w:val="40"/>
        </w:rPr>
        <w:t xml:space="preserve">  Hercules Capital, Inc.</w:t>
      </w:r>
    </w:p>
    <w:p>
      <w:pPr>
        <w:spacing w:after="120"/>
      </w:pPr>
      <w:r>
        <w:rPr>
          <w:rFonts w:ascii="Calibri" w:hAnsi="Calibri"/>
          <w:b/>
          <w:color w:val="6E8450"/>
          <w:sz w:val="18"/>
        </w:rPr>
        <w:t>DIVIDEND SLEEVE · 2026-09-07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Hercules Capital, Inc. is a business development company (BDC) and the largest non-bank lender to venture-backed companies in the United States. The internally managed BDC provides senior secured venture lending to technology, life sciences, and sustainable and renewable technology companies at growth and expansion stages. Founded in December 2003, headquartered in San Jose, California, with approximately $6.1 billion in assets under management and over $27 billion committed to 700+ companies since inception. Q2 2026 delivered record NII of $92.9M ($0.50/share) and record H1 originations of $2.74B (+35.6% YoY).</w:t>
      </w:r>
    </w:p>
    <w:p>
      <w:r>
        <w:rPr>
          <w:rFonts w:ascii="Calibri" w:hAnsi="Calibri"/>
          <w:b/>
          <w:color w:val="6E8450"/>
          <w:sz w:val="18"/>
        </w:rPr>
        <w:t>100 Employees · https://www.htgc.com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Hercules has grown AUM from approximately $3B to $6.1B over five years and expanded from pure technology lending into life sciences and sustainable technology verticals, winning 2025 Americas BDC Manager of the Year from Private Debt Investor [1]. Record H1 2026 originations of $2.74B (+35.6% YoY) demonstrate continued momentum. However, the core business model of providing structured debt to venture-backed companies has remained fundamentally unchanged since founding in 2003. AI Deployment (0/2): Hercules does not deploy AI-powered products or report AI-driven operational efficiencies. While portfolio companies integrate AI into their offerings, HTGC itself has no measurable AI deployment in underwriting, deal sourcing, or portfolio management [1]. Market Share (2/2): Hercules is the dominant player in venture lending — the largest non-bank lender to venture-backed technology, life sciences, and sustainable technology companies in the U.S., having committed more than $27 billion to over 700 companies since inception [1]. This is clear category leadership with brand recognition among founders and VCs. Product Pipeline (0/2): No next-generation financial products announced. The BDC model is inherently incremental — deal flow quality and underwriting discipline are the product. R&amp;D Intensity (0/1): Financial services company with no traditional R&amp;D function.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Hercules Capital's purpose centers on fueling innovation by providing growth-stage capital to technology, life sciences, and sustainable energy companies building the future [1]. This is more specific than generic financial services missions and connects lending to enabling innovation, but it has not been validated through a transformative test that proved purpose drives decisions over profit. Community Impact (0/2): Hercules practices environmentally sound operations and avoids direct investment in oil and gas, mining, forestry, and logging industries, but these represent responsible investing practices rather than philanthropic community investment [1]. No specific charitable programs or foundation dollar amounts were identified. Employee Retention (1/2): CEO Scott Bluestein's 7+ year tenure provides leadership continuity, with recent promotion of Seth Meyer to President and Andrew Olson appointed CFO in May 2026 signaling internal development [2]. However, the small employee base (~100) means individual dynamics carry outsized weight, and some reviews cite high turnover at all levels except the CEO. Insider Buying (0/2): No evidence of meaningful net insider buying by CEO 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stock metrics. Core financial metrics are strong: Forward P/E of 7.20 is well below the 20 target (score 1.0), ROE of approximately 16.5% exceeds the 15% target (score 1.0), and profit margin of approximately 62% vastly exceeds the 20% target (score 1.0) [5]. Revenue growth remains robust with Q1 2026 total investment income up 18.4% YoY and Q2 record of $149.1M, while estimated 5-year CAGR of approximately 16% reflects portfolio growth through rising rate cycles (score 1.0) [1][5]. D/E of 115% exceeds the 70% target but is below the 300% floor (score 0.80), reflecting BDC leverage norms with conservative net GAAP leverage of 101.8% [5]. Dividend metrics show 22 consecutive years paid (score 1.0, 2x weight) and 5-year dividend growth CAGR of approximately 8.7% exceeding the 6% target (score 1.0, 2x weight) [5]. Key weaknesses: payout ratio exceeds 100% on a GAAP basis (score 0.0), and 0 consecutive years of monotonic growth due to rate-driven distribution fluctuations (score 0.0). Q2 2026 NII of $92.9M ($0.50/share) covers the base distribution by 125%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Hercules Capital has demonstrated consistency in its venture lending mission over 22 years but operates primarily as a yield vehicle for investors, with the BDC structure requiring 90%+ income distribution that inherently constrains long-term strategic flexibility. The Hunterbrook Media allegations about deal sourcing practices and portfolio valuation methods — now the subject of securities class action lawsuits — raise questions about whether organizational practices fully align with the stated purpose of fueling innovation. CEO tenure and organizational stability provide some foundation, but the evidence is insufficient for an infinite game classification.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Hercules' purpose of providing capital to innovative technology, life sciences, and sustainable energy companies connects lending to a broader goal of enabling innovation [1]. However, BDCs exist primarily as yield vehicles — the structure is designed to pass through investment income to shareholders, not to pursue a transformative cause. The Hunterbrook Media report alleging deal sourcing 'copies those published on Google Ventures' website' undermines the narrative of proprietary innovation-enabling capabilities [4]. Strategic decisions around portfolio construction, leverage, and distribution are driven by yield optimization, not by a vision of the future that transcends financial returns.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organizational picture is mixed. The leadership transition promoting Seth Meyer to President and appointing Andrew Olson as CFO in May 2026 signals internal development [2]. However, the Hunterbrook allegations and multiple securities class action lawsuits filed in 2026 — alleging overstated NAV, misclassified portfolio investments, and concealed valuation process deficiencies — could erode internal trust [4]. A former member of Hercules' finance team reportedly raised flags about the valuation process, citing an understaffed team with few checks in place. With only approximately 100 employees, organizational trust is highly dependent on a few key relationships.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Hercules frames its competitive positioning in terms of market opportunity and deal quality rather than defeating competitors [1]. Earnings commentary focused on the expanding addressable market for growth-stage lending and the company's unique deal sourcing capabilities, not on taking share from rival BDCs like Trinity Capital or Western Technology Investment. The company acknowledges the competitive lending landscape and uses it to maintain underwriting discipline.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Hercules has expanded from pure technology venture lending into life sciences and sustainable/renewable technology, growing AUM from approximately $3B to $6.1B and broadening the borrower base to reduce sector concentration risk [1]. Record H1 2026 originations of $2.74B (+35.6% YoY) show continued expansion. However, the core business model — senior secured loans to growth-stage companies — is fundamentally unchanged since founding in 2003. These are incremental extensions, not transformative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Hercules demonstrated courage by deploying capital aggressively in H1 2026 with record originations of $2.74B (+35.6% YoY) despite the Hunterbrook/lawsuit overhang and software portfolio concerns [1]. The company maintained its investment-grade rating and distribution coverage while expanding the portfolio. Net GAAP leverage of 101.8% and regulatory leverage of 86.4% reflect disciplined balance sheet management alongside growth. However, BDC structures inherently limit courage — the 90%+ income distribution requirement means management cannot retain significant capital for long-term capability-building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Hercules Capital delivered record Q2 2026 results with total investment income of $149.1M, net investment income of $92.9M ($0.50/share, +4.7% YoY), and base distribution coverage of 125% on a portfolio yielding strong returns across $6.1B in AUM [1]. Record H1 2026 originations of $2.74B (+35.6% YoY) signal robust demand for venture lending. The ~11% dividend yield at a forward P/E of 7.20x offers compelling income value, supported by ~16.5% ROE, ~62% profit margin, and conservative net GAAP leverage of 101.8% with over $1.0B in available liquidity [5]. As the largest non-bank lender to venture-backed companies, Hercules benefits from deal flow advantages, brand recognition, and 22 years of lending relationships [1].</w:t>
      </w:r>
    </w:p>
    <w:p>
      <w:pPr>
        <w:spacing w:after="120"/>
      </w:pPr>
      <w:r>
        <w:rPr>
          <w:rFonts w:ascii="Calibri" w:hAnsi="Calibri"/>
          <w:b w:val="0"/>
          <w:color w:val="3A4A28"/>
          <w:sz w:val="20"/>
        </w:rPr>
        <w:t>The primary risk complex centers on portfolio quality and legal overhang. The securities class action lawsuits filed in 2026 — alleging overstated NAV, misclassified portfolio investments, and concealed valuation process deficiencies based on the Hunterbrook 'The Myth of Hercules Capital' report — create material uncertainty around the integrity of portfolio marks, particularly the $1.5B software-loan book allegedly marked at 100 cents despite industry-wide distress [4]. Piper Sandler downgraded HTGC specifically on AI disruption risks to the ~35% software portfolio exposure, and if AI commoditizes traditional SaaS applications, elevated non-accruals could pressure NAV and NII [3]. The GAAP payout ratio exceeds 100%, meaning the distribution depends on continued strong NII rather than retained earnings [5]. The stock trades at a 30% premium to NAV, leaving limited margin of safety if credit quality deteriorates or if the lawsuits reveal material valuation issues. With the Federal Reserve potentially cutting rates in 2026-2027, HTGC's floating-rate loan portfolio faces interest income compression.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H1 2026 originations of $2.74B (+35.6% YoY) suggest accelerating venture lending demand that could sustain NII growth and distribution coverage through portfolio expansion [1]</w:t>
      </w:r>
    </w:p>
    <w:p>
      <w:pPr>
        <w:spacing w:before="40" w:after="40"/>
        <w:ind w:left="283"/>
      </w:pPr>
      <w:r>
        <w:rPr>
          <w:rFonts w:ascii="Calibri" w:hAnsi="Calibri"/>
          <w:b/>
          <w:color w:val="4A6B25"/>
          <w:sz w:val="20"/>
        </w:rPr>
        <w:t xml:space="preserve">2. </w:t>
      </w:r>
      <w:r>
        <w:rPr>
          <w:rFonts w:ascii="Calibri" w:hAnsi="Calibri"/>
          <w:b w:val="0"/>
          <w:color w:val="3A4A28"/>
          <w:sz w:val="20"/>
        </w:rPr>
        <w:t>Resolution of Hunterbrook allegations and securities fraud lawsuits without material financial impact, clearing the legal overhang and restoring investor confidence in portfolio valuations and deal sourcing integrity [4]</w:t>
      </w:r>
    </w:p>
    <w:p>
      <w:pPr>
        <w:spacing w:before="40" w:after="40"/>
        <w:ind w:left="283"/>
      </w:pPr>
      <w:r>
        <w:rPr>
          <w:rFonts w:ascii="Calibri" w:hAnsi="Calibri"/>
          <w:b/>
          <w:color w:val="4A6B25"/>
          <w:sz w:val="20"/>
        </w:rPr>
        <w:t xml:space="preserve">3. </w:t>
      </w:r>
      <w:r>
        <w:rPr>
          <w:rFonts w:ascii="Calibri" w:hAnsi="Calibri"/>
          <w:b w:val="0"/>
          <w:color w:val="3A4A28"/>
          <w:sz w:val="20"/>
        </w:rPr>
        <w:t>Nonaccruals at just 0.1% of portfolio at fair value as of Q2 2026 suggest software risk is manageable, and continued clean credit metrics could re-rate the stock from its current 30% NAV premium toward historical highs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disruption of the ~35% software portfolio exposure could trigger elevated non-accruals and realized losses, particularly in traditional SaaS companies whose value propositions are being commoditized by AI agents — Piper Sandler's downgrade specifically flagged this risk [3]</w:t>
      </w:r>
    </w:p>
    <w:p>
      <w:pPr>
        <w:spacing w:before="40" w:after="40"/>
        <w:ind w:left="283"/>
      </w:pPr>
      <w:r>
        <w:rPr>
          <w:rFonts w:ascii="Calibri" w:hAnsi="Calibri"/>
          <w:b/>
          <w:color w:val="4A6B25"/>
          <w:sz w:val="20"/>
        </w:rPr>
        <w:t xml:space="preserve">2. </w:t>
      </w:r>
      <w:r>
        <w:rPr>
          <w:rFonts w:ascii="Calibri" w:hAnsi="Calibri"/>
          <w:b w:val="0"/>
          <w:color w:val="3A4A28"/>
          <w:sz w:val="20"/>
        </w:rPr>
        <w:t>Securities class action lawsuits alleging overstated NAV, misclassified investments, inflated software marks at 100 cents, and growing PIK exposure creating 'phantom income' — a former finance team member reportedly flagged an understaffed valuation process with few checks [4]</w:t>
      </w:r>
    </w:p>
    <w:p>
      <w:pPr>
        <w:spacing w:before="40" w:after="40"/>
        <w:ind w:left="283"/>
      </w:pPr>
      <w:r>
        <w:rPr>
          <w:rFonts w:ascii="Calibri" w:hAnsi="Calibri"/>
          <w:b/>
          <w:color w:val="4A6B25"/>
          <w:sz w:val="20"/>
        </w:rPr>
        <w:t xml:space="preserve">3. </w:t>
      </w:r>
      <w:r>
        <w:rPr>
          <w:rFonts w:ascii="Calibri" w:hAnsi="Calibri"/>
          <w:b w:val="0"/>
          <w:color w:val="3A4A28"/>
          <w:sz w:val="20"/>
        </w:rPr>
        <w:t>Federal Reserve rate cuts projected for 2026-2027 will compress net interest margins on the floating-rate loan portfolio, reducing NII per share and potentially threatening distribution coverage at the current GAAP payout ratio exceeding 100%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Hercules Capital faces meaningful indirect AI disruption risk through its approximately 35% portfolio exposure to software companies. Piper Sandler downgraded HTGC specifically citing AI disruption risks, noting potential for 'negative headlines, market noise, and business model difficulties' as AI tools threaten traditional software value propositions [3]. The shareholder lawsuit partly alleges a $1.5 billion software-loan book marked at 100 cents despite industry-wide distress in software lending [4]. However, HTGC's core business of venture lending — relationship-based underwriting, covenant structuring, and portfolio management — requires human judgment that AI cannot replicate. Management has emphasized software originations focus on companies with 'domain expertise, hardware moats, or highly regulated customer bases' for resilience. Nonaccruals at fair value remain just 0.1% of portfolio as of Q2 2026, suggesting software risk has not yet materialized in actual credit losses [1]. AI Opportunity (0/1): Hercules does not generate direct AI revenue. While portfolio companies are integrating AI, HTGC has not invested in pure-play AI companies and generates no quantifiable revenue from AI products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Hercules Capital Q2 2026 Earnings Release — Record NII $92.9M ($0.50/share), Record H1 Originations $2.74B (+35.6% YoY), Net GAAP Leverage 101.8%, Nonaccruals 0.1%, investor.htgc.com, July 2026</w:t>
      </w:r>
    </w:p>
    <w:p>
      <w:pPr>
        <w:spacing w:before="20" w:after="20"/>
        <w:ind w:left="170"/>
      </w:pPr>
      <w:r>
        <w:rPr>
          <w:rFonts w:ascii="Calibri" w:hAnsi="Calibri"/>
          <w:b/>
          <w:color w:val="4A6B25"/>
          <w:sz w:val="15"/>
        </w:rPr>
        <w:t xml:space="preserve">2. </w:t>
      </w:r>
      <w:r>
        <w:rPr>
          <w:rFonts w:ascii="Calibri" w:hAnsi="Calibri"/>
          <w:b w:val="0"/>
          <w:color w:val="3A4A28"/>
          <w:sz w:val="17"/>
        </w:rPr>
        <w:t>Hercules Capital Leadership Transition — Seth Meyer Promoted to President, Andrew Olson Appointed CFO May 2026, CEO Scott Bluestein Tenure Since 2019 — Yahoo Finance, InvestmentNews, 2026</w:t>
      </w:r>
    </w:p>
    <w:p>
      <w:pPr>
        <w:spacing w:before="20" w:after="20"/>
        <w:ind w:left="170"/>
      </w:pPr>
      <w:r>
        <w:rPr>
          <w:rFonts w:ascii="Calibri" w:hAnsi="Calibri"/>
          <w:b/>
          <w:color w:val="4A6B25"/>
          <w:sz w:val="15"/>
        </w:rPr>
        <w:t xml:space="preserve">3. </w:t>
      </w:r>
      <w:r>
        <w:rPr>
          <w:rFonts w:ascii="Calibri" w:hAnsi="Calibri"/>
          <w:b w:val="0"/>
          <w:color w:val="3A4A28"/>
          <w:sz w:val="17"/>
        </w:rPr>
        <w:t>Piper Sandler Analyst Downgrade of Hercules Capital on AI Disruption Risks to Software Portfolio — Seeking Alpha, Investing.com, 2026</w:t>
      </w:r>
    </w:p>
    <w:p>
      <w:pPr>
        <w:spacing w:before="20" w:after="20"/>
        <w:ind w:left="170"/>
      </w:pPr>
      <w:r>
        <w:rPr>
          <w:rFonts w:ascii="Calibri" w:hAnsi="Calibri"/>
          <w:b/>
          <w:color w:val="4A6B25"/>
          <w:sz w:val="15"/>
        </w:rPr>
        <w:t xml:space="preserve">4. </w:t>
      </w:r>
      <w:r>
        <w:rPr>
          <w:rFonts w:ascii="Calibri" w:hAnsi="Calibri"/>
          <w:b w:val="0"/>
          <w:color w:val="3A4A28"/>
          <w:sz w:val="17"/>
        </w:rPr>
        <w:t>Hunterbrook Media — 'The Myth of Hercules Capital' and Securities Class Action Lawsuits — Deal Sourcing, NAV Valuation, PIK Loan, and Software Mark Allegations — Hagens Berman, Levi &amp; Korsinsky,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and Yahoo Finance — HTGC Key Statistics: Forward P/E 7.20x, PE 7.49x, D/E 115%, Dividend Yield ~11%, Stock Price $19.26,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