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HXL</w:t>
      </w:r>
      <w:r>
        <w:rPr>
          <w:rFonts w:ascii="Calibri" w:hAnsi="Calibri"/>
          <w:b/>
          <w:color w:val="1A2010"/>
          <w:sz w:val="40"/>
        </w:rPr>
        <w:t xml:space="preserve">  Hexcel Corporation</w:t>
      </w:r>
    </w:p>
    <w:p>
      <w:pPr>
        <w:spacing w:after="120"/>
      </w:pPr>
      <w:r>
        <w:rPr>
          <w:rFonts w:ascii="Calibri" w:hAnsi="Calibri"/>
          <w:b/>
          <w:color w:val="6E8450"/>
          <w:sz w:val="18"/>
        </w:rPr>
        <w:t>GROWTH SLEEVE · 2026-09-25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Hexcel Corporation develops, manufactures, and markets advanced lightweight composite materials and engineered products for commercial aerospace, space and defense, and industrial applications. The company operates through Composite Materials and Engineered Products segments, supplying carbon fiber, prepregs, honeycomb structures, and engineered core products to Airbus, Boeing, and defense primes. Founded in 1948, headquartered in Stamford, Connecticut. CEO Tom Gentile leads since May 2024. Q2 2026 revenue of $529.3M grew 8% YoY with Commercial Aerospace surging 18.3%, and raised FY2026 guidance to $2.025-$2.125B revenue.</w:t>
      </w:r>
    </w:p>
    <w:p>
      <w:r>
        <w:rPr>
          <w:rFonts w:ascii="Calibri" w:hAnsi="Calibri"/>
          <w:b/>
          <w:color w:val="6E8450"/>
          <w:sz w:val="18"/>
        </w:rPr>
        <w:t>5,563 Employees · https://www.hexcel.com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Hexcel has expanded carbon fiber capacity and developed next-generation prepreg systems for A350 and 787 programs, with Q2 2026 Commercial Aerospace sales surging 18.3% to $346.6M reflecting strong content on new-generation aircraft [1]. The FIDAMC partnership advances composite innovation in automated fiber placement and thermoplastic composites [3]. However, these are evolutionary advances within the same composites domain rather than transformative pivots. AI Deployment (0/2): Hexcel is 'integrating AI and digitalization to enhance performance, reduce costs, and improve sustainability' through strategic partnerships and appointed CTO Bob Kody (June 2025) to lead innovation, but no AI-powered products or quantified AI-driven cost savings have been reported [3]. Market Share (2/2): Hexcel operates as a duopoly leader alongside Toray in aerospace-grade carbon fiber composites, with dominant positions on Airbus A350, Boeing 787, F-35, and other key defense programs — commercial aerospace LTM sales of $1,253M represent 88% growth from 2021 [1][3]. Product Pipeline (1/2): Management outlined a path to 18% adjusted operating margins by end of decade, with $500M incremental commercial sales and $200M defense/space sales targets, supported by thermoplastic composites and next-gen materials development, but specific product launch dates remain vague [1]. R&amp;D Intensity (1/1): Over 1,350 patents and pending applications worldwide, with dedicated CTO and FIDAMC partnership driving ongoing investment in materials science at industry-leading levels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Hexcel's purpose of 'Advancing Lightweight Materials Worldwide' is specific and thoughtful — connecting composites innovation to environmental sustainability through a clear causal chain (lighter aircraft → less fuel → reduced emissions) validated by 78 years of continuous investment in carbon fiber technology [3]. The cause has shaped strategic decisions — Hexcel has remained focused on advanced composites rather than diversifying into unrelated materials. Community Impact (1/2): The Hexcel Foundation commits to increasing giving by 10% annually through 2030, and the ESG strategy targets 30% reduction in scope 1 and 2 GHG emissions intensity and 30% waste reduction by 2030, though specific charitable dollar amounts remain modest [4]. Employee Retention (0/2): Glassdoor ratings of 3.5/5 overall with culture and values at 3.1/5 — mixed reviews citing tension between operations and management. CEO Gentile brings stability from his extensive GE and Spirit AeroSystems leadership background, and orderly succession planning (interim CFO, CTO appointment) reduces disruption [3]. Insider Buying (2/2): Strong net insider buying of 170,856 shares across 21 purchases prior to April 2026, with CEO Gentile and multiple directors actively buying during the $65-90 range, signaling conviction in the aerospace recovery thesis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current metrics reflecting improved valuation after the stock's 12% pullback from all-time highs. D/E of 73.9% scores 0.98 (slightly above 70% target with $62.5M cash vs $959M debt) [5]. ROE of 10.76% scores 0.72 (2x weight, improving from 7.87% earlier in 2026 as margins expand). Revenue Growth YoY of 8.0% scores 0.93 (Q2 2026 sales $529.3M +8% YoY, Commercial Aerospace +18.3%) [1]. 5yr revenue CAGR of ~8% scores 0.87 (2x weight). Forward P/E of 27.32 scores 0.82 (improved from 38.3x as stock pulled back to $85.45 from $104 highs while forward EPS estimates rose to $3.13) [5]. Profit margin of 7.76% scores 0.39 (improving from 5.78%, adjusted operating margin 13.9% vs 11.1% a year ago) [1]. PEG of 0.62 scores 1.00 (2x weight — dramatically improved from 1.68, reflecting upgraded earnings growth trajectory with FY2027 EPS of $3.06 projected) [5]. Weighted sum 8.29/10 = Infrastructure 8. Liquidity floor cleared: 939K avg volume x $85.45 = $80.2M.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Hexcel demonstrates mixed infinite-game thinking: a genuine 78-year commitment to advancing lightweight materials has endured through multiple aerospace cycles, leadership transitions, and market disruptions including the COVID-19 collapse that halved aerospace demand. The connection between composites and environmental sustainability adds depth to the cause, and the Toray duopoly dynamic reflects healthy competitive self-improvement. However, recent leadership transitions and mixed cultural indicators suggest the organizational foundation needs strengthening under the Gentile era.</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Hexcel's cause of 'Advancing Lightweight Materials Worldwide' has been validated by 78 years of continuous investment in carbon fiber and composites technology, surviving multiple aerospace downturns including the 2020 COVID collapse that halved industry production rates [3]. The connection between lightweight composites and environmental sustainability (fuel savings, emissions reduction) adds genuine depth — each pound saved on an aircraft saves thousands of gallons of fuel over its lifetime. The cause has shaped strategic decisions — Hexcel has remained focused on advanced composites rather than diversifying. The cause has not yet been proven through the current leadership transition under CEO Gentile.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Tom Gentile has stabilized the leadership team since joining in May 2024, bringing extensive experience from Spirit AeroSystems and GE [3]. Orderly succession planning (interim CFO Mike Lenz, CTO Bob Kody appointment June 2025, EVP transitions with clear successors) reduces disruption and signals organizational maturity. The company maintains 5,563 employees across global manufacturing operations. However, Glassdoor ratings of 3.5/5 overall with culture/values at 3.1/5 indicate adequate but not exceptional trust — some employees describe tension between union operators and management.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Hexcel operates in a duopoly with Toray Industries (Japan), and the competitive dynamic has pushed both companies to continuously improve carbon fiber tensile strength, resin systems, and manufacturing efficiency [1]. Management's competitive language focuses on advancing materials performance and innovation rather than 'beating' or 'crushing' Toray. The FIDAMC partnership demonstrates willingness to collaborate with external research institutions to improve capabilities, reflecting an infinite competitive mindset of self-improvement through rivalry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Hexcel has evolved from a basic honeycomb materials producer in 1948 to a full-spectrum advanced composites company, expanding into carbon fiber, prepregs, thermoplastic composites, and engineered structures [3]. The company's commercial aerospace LTM sales grew 88% from $668M in 2021 to $1,253M through Q2 2026, demonstrating ability to scale through aerospace cycles [1]. The pivot toward thermoplastic composites and space applications shows ongoing adaptation. However, these are incremental evolutions within the same materials science domain, not transformative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maintained capital investment and R&amp;D spending through the severe aerospace downturn rather than cutting to protect margins, and the board brought in CEO Gentile to navigate the recovery [3]. CEO Gentile and multiple directors collectively purchased 170,856 shares during the $65-90 range, demonstrating personal conviction in the recovery thesis [2]. Management raised FY2026 guidance to $2.025-2.125B revenue with a path to 18% operating margins by end of decade [1]. However, the company is largely riding the aerospace recovery cycle rather than making bold contrarian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Hexcel is a duopoly leader in aerospace-grade carbon fiber composites now trading at a significantly more attractive valuation after pulling back 18% from its $104 all-time high to $85.45. At forward PEG of 0.62 and 27.3x forward earnings with FY2027 EPS projected at $3.06, the stock offers compelling growth-adjusted value during a multi-year aerospace recovery [1][5]. Q2 2026 revenue of $529.3M (+8% YoY) with Commercial Aerospace surging 18.3% demonstrates accelerating content growth driven by Airbus A350 and Boeing 787 production ramp-ups. Management raised FY2026 guidance to $2.025-$2.125B revenue with adjusted operating margins improving to 13.9% from 11.1% a year ago and a credible path to 18% margins by end of decade [1]. Boeing and Airbus combined backlogs of ~15,000 aircraft provide multi-year revenue visibility through long-term supply agreements, and strong insider buying signals management conviction [2].</w:t>
      </w:r>
    </w:p>
    <w:p>
      <w:pPr>
        <w:spacing w:after="120"/>
      </w:pPr>
      <w:r>
        <w:rPr>
          <w:rFonts w:ascii="Calibri" w:hAnsi="Calibri"/>
          <w:b w:val="0"/>
          <w:color w:val="3A4A28"/>
          <w:sz w:val="20"/>
        </w:rPr>
        <w:t>The bear case centers on aerospace cycle dependency, margin recovery execution, and balance sheet leverage. Revenue growth of 8% YoY is almost entirely driven by OEM build rate increases — a Boeing production disruption, supply chain bottleneck, or defense budget cut would directly impact volumes given ~65% revenue concentration in commercial aerospace [1]. Profit margin of 7.76% and gross margin of 25.0% remain well below pre-COVID levels despite improving operating leverage, and raw material cost inflation or energy price spikes could delay the path to 18% target margins. D/E of 73.9% with $959M debt against only $62.5M cash limits balance sheet flexibility if aerospace demand stalls — Hexcel is a leveraged single-industry play [5]. The stock at $85.45 trades below its 50-day SMA of $97.97, reflecting broader market concern about aerospace supply chain execution and potential tariff impacts. Glassdoor culture ratings of 3.1/5 and ongoing leadership transitions add organizational uncertainty during a critical scaling phase.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Airbus A350 and Boeing 787/737 MAX production rate increases through 2027 targeting record annual delivery rates, with Hexcel's dominant composite content on these platforms directly driving volume growth — Commercial Aerospace sales already surging 18.3% YoY in Q2 2026 [1]</w:t>
      </w:r>
    </w:p>
    <w:p>
      <w:pPr>
        <w:spacing w:before="40" w:after="40"/>
        <w:ind w:left="283"/>
      </w:pPr>
      <w:r>
        <w:rPr>
          <w:rFonts w:ascii="Calibri" w:hAnsi="Calibri"/>
          <w:b/>
          <w:color w:val="4A6B25"/>
          <w:sz w:val="20"/>
        </w:rPr>
        <w:t xml:space="preserve">2. </w:t>
      </w:r>
      <w:r>
        <w:rPr>
          <w:rFonts w:ascii="Calibri" w:hAnsi="Calibri"/>
          <w:b w:val="0"/>
          <w:color w:val="3A4A28"/>
          <w:sz w:val="20"/>
        </w:rPr>
        <w:t>Path to 18% adjusted operating margins by end of decade with $500M incremental commercial sales and $200M defense/space sales, supported by operating leverage as revenue scales toward $2.5B+ from current $2.0B LTM [1]</w:t>
      </w:r>
    </w:p>
    <w:p>
      <w:pPr>
        <w:spacing w:before="40" w:after="40"/>
        <w:ind w:left="283"/>
      </w:pPr>
      <w:r>
        <w:rPr>
          <w:rFonts w:ascii="Calibri" w:hAnsi="Calibri"/>
          <w:b/>
          <w:color w:val="4A6B25"/>
          <w:sz w:val="20"/>
        </w:rPr>
        <w:t xml:space="preserve">3. </w:t>
      </w:r>
      <w:r>
        <w:rPr>
          <w:rFonts w:ascii="Calibri" w:hAnsi="Calibri"/>
          <w:b w:val="0"/>
          <w:color w:val="3A4A28"/>
          <w:sz w:val="20"/>
        </w:rPr>
        <w:t>Forward PEG of 0.62 at $85.45 represents compelling growth-adjusted value with FY2027 EPS projected at $3.06, offering 48% upside to recovery-level earnings power — the pullback from $104 creates an attractive entry point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Single-industry concentration with ~65% revenue in commercial aerospace — any Boeing production disruption, Airbus A350 delivery pause, or wide-body demand slowdown would directly impact volumes and margin recovery trajectory [1]</w:t>
      </w:r>
    </w:p>
    <w:p>
      <w:pPr>
        <w:spacing w:before="40" w:after="40"/>
        <w:ind w:left="283"/>
      </w:pPr>
      <w:r>
        <w:rPr>
          <w:rFonts w:ascii="Calibri" w:hAnsi="Calibri"/>
          <w:b/>
          <w:color w:val="4A6B25"/>
          <w:sz w:val="20"/>
        </w:rPr>
        <w:t xml:space="preserve">2. </w:t>
      </w:r>
      <w:r>
        <w:rPr>
          <w:rFonts w:ascii="Calibri" w:hAnsi="Calibri"/>
          <w:b w:val="0"/>
          <w:color w:val="3A4A28"/>
          <w:sz w:val="20"/>
        </w:rPr>
        <w:t>Profit margin of 7.76% remains well below pre-COVID levels and the 18% target, with raw material costs, energy prices, and potential tariffs creating headwinds to the margin expansion thesis</w:t>
      </w:r>
    </w:p>
    <w:p>
      <w:pPr>
        <w:spacing w:before="40" w:after="40"/>
        <w:ind w:left="283"/>
      </w:pPr>
      <w:r>
        <w:rPr>
          <w:rFonts w:ascii="Calibri" w:hAnsi="Calibri"/>
          <w:b/>
          <w:color w:val="4A6B25"/>
          <w:sz w:val="20"/>
        </w:rPr>
        <w:t xml:space="preserve">3. </w:t>
      </w:r>
      <w:r>
        <w:rPr>
          <w:rFonts w:ascii="Calibri" w:hAnsi="Calibri"/>
          <w:b w:val="0"/>
          <w:color w:val="3A4A28"/>
          <w:sz w:val="20"/>
        </w:rPr>
        <w:t>D/E of 73.9% with $959M debt against only $62.5M cash provides limited balance sheet flexibility — if aerospace demand softens or the recovery stalls, the leveraged capital structure amplifies downside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Hexcel's core business — manufacturing physical carbon fiber composites, honeycomb structures, and engineered materials — is structurally immune to AI disruption [3]. AI cannot replace the physical production of advanced aerospace materials, nor can it substitute for decades of materials science expertise and the multi-year FAA/EASA certification process for aerospace composites. The certification barrier alone creates a regulatory moat that no AI system can bypass — each new composite material requires years of testing and qualification before aircraft manufacturers can use it. AI may actually increase demand as next-generation autonomous aircraft, AI-powered defense systems, and advanced air mobility vehicles all require more composite content per platform. AI Opportunity (0/1): No AI revenue products — Hexcel's value proposition is physical materials science and manufacturing, not software or data. The company uses AI in manufacturing processes but does not generate revenue from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Hexcel Q2 2026 Earnings — revenue $529.3M (+8% YoY), adjusted EPS $0.66 (+32%), Commercial Aerospace +18.3%, raised FY2026 guidance to $2.025-$2.125B revenue, adjusted operating margin 13.9% — Investing.com / Globe and Mail, July 2026</w:t>
      </w:r>
    </w:p>
    <w:p>
      <w:pPr>
        <w:spacing w:before="20" w:after="20"/>
        <w:ind w:left="170"/>
      </w:pPr>
      <w:r>
        <w:rPr>
          <w:rFonts w:ascii="Calibri" w:hAnsi="Calibri"/>
          <w:b/>
          <w:color w:val="4A6B25"/>
          <w:sz w:val="15"/>
        </w:rPr>
        <w:t xml:space="preserve">2. </w:t>
      </w:r>
      <w:r>
        <w:rPr>
          <w:rFonts w:ascii="Calibri" w:hAnsi="Calibri"/>
          <w:b w:val="0"/>
          <w:color w:val="3A4A28"/>
          <w:sz w:val="17"/>
        </w:rPr>
        <w:t>Hexcel Leadership, Insider Activity — CEO Tom Gentile, 170,856 shares purchased by insiders at $65-90, Glassdoor 3.5/5 overall — BuiltIn / StockAnalysis,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Hexcel Corporate Website — Mission, Leadership Team (CEO Gentile, CTO Bob Kody), FIDAMC Partnership, 1,350+ Patents, AI/Digitalization Strategy — hexcel.com,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Hexcel Sustainability — 30% GHG reduction target, 30% waste reduction by 2030, Hexcel Foundation, ESG Strategy — hexcel.com / Sustainalytics,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HXL Key Statistics: Forward P/E 27.32x, PEG 0.62, D/E 73.9%, ROE 10.76%, Forward EPS $3.13, Stock Price $85.45,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