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71600" cy="72322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7232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40"/>
      </w:pPr>
      <w:r>
        <w:rPr>
          <w:rFonts w:ascii="Calibri" w:hAnsi="Calibri"/>
          <w:b/>
          <w:color w:val="4A6B25"/>
          <w:sz w:val="56"/>
        </w:rPr>
        <w:t>IBRX</w:t>
      </w:r>
      <w:r>
        <w:rPr>
          <w:rFonts w:ascii="Calibri" w:hAnsi="Calibri"/>
          <w:b/>
          <w:color w:val="1A2010"/>
          <w:sz w:val="40"/>
        </w:rPr>
        <w:t xml:space="preserve">  ImmunityBio, Inc.</w:t>
      </w:r>
    </w:p>
    <w:p>
      <w:pPr>
        <w:spacing w:after="120"/>
      </w:pPr>
      <w:r>
        <w:rPr>
          <w:rFonts w:ascii="Calibri" w:hAnsi="Calibri"/>
          <w:b/>
          <w:color w:val="6E8450"/>
          <w:sz w:val="18"/>
        </w:rPr>
        <w:t>GROWTH SLEEVE · 2026-10-03 · Inspire: -62 · FINITE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1200" w:type="dxa"/>
      </w:tblPr>
      <w:tblGrid>
        <w:gridCol w:w="10800"/>
      </w:tblGrid>
      <w:tr>
        <w:tc>
          <w:tcPr>
            <w:tcW w:type="dxa" w:w="10800"/>
            <w:shd w:fill="E3F2FD" w:val="clea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2563EB"/>
                <w:sz w:val="20"/>
              </w:rPr>
              <w:t>WATCH</w:t>
            </w:r>
          </w:p>
        </w:tc>
      </w:tr>
    </w:tbl>
    <w:p>
      <w:pPr>
        <w:spacing w:before="120" w:after="200"/>
      </w:pPr>
      <w:r>
        <w:rPr>
          <w:rFonts w:ascii="Calibri" w:hAnsi="Calibri"/>
          <w:b/>
          <w:color w:val="1A2010"/>
          <w:sz w:val="80"/>
        </w:rPr>
        <w:t>48</w:t>
      </w:r>
      <w:r>
        <w:rPr>
          <w:rFonts w:ascii="Calibri" w:hAnsi="Calibri"/>
          <w:b w:val="0"/>
          <w:color w:val="9DAF88"/>
          <w:sz w:val="28"/>
        </w:rPr>
        <w:t xml:space="preserve"> / </w:t>
      </w:r>
      <w:r>
        <w:rPr>
          <w:rFonts w:ascii="Calibri" w:hAnsi="Calibri"/>
          <w:b w:val="0"/>
          <w:color w:val="9DAF88"/>
          <w:sz w:val="24"/>
        </w:rPr>
        <w:t>100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COMPANY PROFILE</w:t>
            </w:r>
          </w:p>
        </w:tc>
      </w:tr>
    </w:tbl>
    <w:p>
      <w:r>
        <w:rPr>
          <w:rFonts w:ascii="Calibri" w:hAnsi="Calibri"/>
          <w:b/>
          <w:color w:val="6E8450"/>
          <w:sz w:val="18"/>
        </w:rPr>
        <w:t>Healthcare · Biotechnology · NMS · United States</w:t>
      </w:r>
    </w:p>
    <w:p>
      <w:pPr>
        <w:spacing w:after="80"/>
      </w:pPr>
      <w:r>
        <w:rPr>
          <w:rFonts w:ascii="Calibri" w:hAnsi="Calibri"/>
          <w:b w:val="0"/>
          <w:color w:val="3A4A28"/>
          <w:sz w:val="20"/>
        </w:rPr>
        <w:t>ImmunityBio is a clinical- and commercial-stage immunotherapy company led by founder Patrick Soon-Shiong, marketing ANKTIVA (nogapendekin alfa inbakicept) for BCG-unresponsive non-muscle invasive bladder cancer and developing NK and T-cell therapies and vaccines. Q2 2026 net product revenue was a record $50.7M (+92% YoY), with first-half revenue of $94.8M (+121%) [1]. Cash and marketable securities were $381M at March 31, 2026.</w:t>
      </w:r>
    </w:p>
    <w:p>
      <w:r>
        <w:rPr>
          <w:rFonts w:ascii="Calibri" w:hAnsi="Calibri"/>
          <w:b/>
          <w:color w:val="6E8450"/>
          <w:sz w:val="18"/>
        </w:rPr>
        <w:t>700 Employees · https://immunitybio.com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16A34A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EXCELLENCE EVALUATION — THINK LIKE AN OWNER (50%)</w:t>
            </w:r>
          </w:p>
        </w:tc>
      </w:tr>
    </w:tbl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Innovation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B8860B"/>
          <w:sz w:val="16"/>
        </w:rPr>
        <w:t xml:space="preserve"> DEVELOPING 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5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2756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2756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Track Record (2/3): ANKTIVA's launch as a first-in-class IL-15 superagonist drove 700% revenue growth in 2025 to $113M and eight consecutive quarters of sequential growth [1]. AI Deployment (0/2): the company says it is adopting and exploring AI but cites it chiefly as a risk factor; no shipped product or savings quantified [2]. Market Share (1/2): growing urologist adoption in a niche indication, no specific share data. Pipeline (1/2): NK/T-cell and expanded ANKTIVA indications are in development without dated revenue visibility in research. R&amp;D (1/1): R&amp;D intensity is far above industry average relative to revenue.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Inspiration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DC2626"/>
          <w:sz w:val="16"/>
        </w:rPr>
        <w:t xml:space="preserve"> WEAK 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3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1654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3858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Mission Floor (3/4): ImmunityBio's 'Immunotherapy 2.0' goal of activating the immune system to cure cancer rather than merely manage it is specific and thoughtfully differentiated, though not yet validated by decades of execution [1]. Community Impact (0/2): no charitable or community program with figures was found in research. Employee Retention (0/2): Glassdoor shows 32% would recommend and reviews describe burnout and stretched teams [2]. Insider Buying (0/2): no net insider buying data found; founder holds singular board control [2].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Infrastructure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B8860B"/>
          <w:sz w:val="16"/>
        </w:rPr>
        <w:t xml:space="preserve"> DEVELOPING 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4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2205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3307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Mechanically scored as a Growth stock. Revenue growth of 93.9% YoY (1.0) and a 5yr CAGR far above 10% from a near-zero base (1.0, 2x) hit targets. Forward P/E is negative at -73 (0.0), profit margin is deeply negative (0.0), and ROE and D/E are not meaningful given stockholders' deficit, so they score 0.0 (floor) rather than being excluded; PEG unavailable and excluded. Weighted 3.0/8 gives 4. Dollar volume of about $104M clears the liquidity floor.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16A34A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FINITE VS INFINITE GAME — SINEK (25%)</w:t>
            </w:r>
          </w:p>
        </w:tc>
      </w:tr>
    </w:tbl>
    <w:p>
      <w:pPr>
        <w:spacing w:after="40"/>
      </w:pPr>
      <w:r>
        <w:rPr>
          <w:rFonts w:ascii="Calibri" w:hAnsi="Calibri"/>
          <w:b w:val="0"/>
          <w:color w:val="6E8450"/>
          <w:sz w:val="22"/>
        </w:rPr>
        <w:t xml:space="preserve">Mindset: </w:t>
      </w:r>
      <w:r>
        <w:rPr>
          <w:rFonts w:ascii="Calibri" w:hAnsi="Calibri"/>
          <w:b/>
          <w:color w:val="DC2626"/>
          <w:sz w:val="22"/>
        </w:rPr>
        <w:t>FINITE</w:t>
      </w:r>
      <w:r>
        <w:rPr>
          <w:rFonts w:ascii="Calibri" w:hAnsi="Calibri"/>
          <w:b w:val="0"/>
          <w:color w:val="6E8450"/>
          <w:sz w:val="22"/>
        </w:rPr>
        <w:t xml:space="preserve">      Overall: </w:t>
      </w:r>
      <w:r>
        <w:rPr>
          <w:rFonts w:ascii="Calibri" w:hAnsi="Calibri"/>
          <w:b/>
          <w:color w:val="B8860B"/>
          <w:sz w:val="28"/>
        </w:rPr>
        <w:t>4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p>
      <w:pPr>
        <w:spacing w:after="120"/>
      </w:pPr>
      <w:r>
        <w:rPr>
          <w:rFonts w:ascii="Calibri" w:hAnsi="Calibri"/>
          <w:b w:val="0"/>
          <w:color w:val="3A4A28"/>
          <w:sz w:val="18"/>
        </w:rPr>
        <w:t>ImmunityBio has a bold, idealistic cause in curing cancer through immunotherapy and has funded it through years of losses. Employee feedback, founder control and financial fragility argue against a high-trust, durable organization.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Just Cause</w:t>
      </w:r>
    </w:p>
    <w:p>
      <w:pPr>
        <w:spacing w:before="0" w:after="40"/>
      </w:pPr>
      <w:r>
        <w:rPr>
          <w:rFonts w:ascii="Calibri" w:hAnsi="Calibri"/>
          <w:b/>
          <w:color w:val="16A34A"/>
          <w:sz w:val="28"/>
        </w:rPr>
        <w:t>7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3858"/>
            <w:shd w:fill="16A34A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1654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Just Cause (2/3): Curing cancer by harnessing the immune system is idealistic, service-oriented and big, and has guided a decade-plus of R&amp;D, but the company has not yet proven it durable or independent of founder vision [1].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Trusting Teams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2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1102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4409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Trusting Teams (0/2): Glassdoor reports leadership meddling, burnout, 'rules by fear' comments and just 32% recommending the company [2].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Worthy Rivals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3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1654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3858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Worthy Rivals (0/1): Positioning is as a replacement for the standard of care, with no evidence of rival-learning language [1].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Existential Flexibility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6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3307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2205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Existential Flexibility (1/2): Transitioned from a development-stage platform to a commercial-stage company, an incremental evolution within immunotherapy [1].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Courage To Lead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6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3307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2205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Courage to Lead (1/2): Sustained heavy investment through losses and a commercial launch while cash was $381M show long-term bets, with some funding decisions reliant on founder resources [1][2].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INVESTMENT THESIS</w:t>
            </w:r>
          </w:p>
        </w:tc>
      </w:tr>
    </w:tbl>
    <w:p>
      <w:pPr>
        <w:spacing w:after="120"/>
      </w:pPr>
      <w:r>
        <w:rPr>
          <w:rFonts w:ascii="Calibri" w:hAnsi="Calibri"/>
          <w:b w:val="0"/>
          <w:color w:val="3A4A28"/>
          <w:sz w:val="20"/>
        </w:rPr>
        <w:t>ImmunityBio at $10.28 and a $10.9B market cap is converting a first-in-class bladder cancer therapy into revenue: Q2 2026 net product revenue was $50.7M (+92% YoY, +15% sequential), first-half revenue $94.8M (+121%), and 2025 revenue grew 700% to $113M [1]. The shares trade well above their $8.00 50-day average, reflecting momentum in the ANKTIVA launch and pipeline expansion.</w:t>
      </w:r>
    </w:p>
    <w:p>
      <w:pPr>
        <w:spacing w:after="120"/>
      </w:pPr>
      <w:r>
        <w:rPr>
          <w:rFonts w:ascii="Calibri" w:hAnsi="Calibri"/>
          <w:b w:val="0"/>
          <w:color w:val="3A4A28"/>
          <w:sz w:val="20"/>
        </w:rPr>
        <w:t>The bear case is steep: annualized revenue of roughly $200M supports a $10.9B valuation only if ANKTIVA expands far beyond bladder cancer, while the company is unprofitable, has a stockholders' deficit and held only $381M in cash at March 31, 2026 against ongoing burn [1][2]. Glassdoor shows 32% recommend and founder-control concerns, and the Inspire score of -62 reflects embryonic stem cell involvement that conflicts with faith-based mandates [2].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16A34A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KEY CATALYSTS</w:t>
            </w:r>
          </w:p>
        </w:tc>
      </w:tr>
    </w:tbl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1. </w:t>
      </w:r>
      <w:r>
        <w:rPr>
          <w:rFonts w:ascii="Calibri" w:hAnsi="Calibri"/>
          <w:b w:val="0"/>
          <w:color w:val="3A4A28"/>
          <w:sz w:val="20"/>
        </w:rPr>
        <w:t>Eighth-plus consecutive quarter of sequential ANKTIVA revenue growth, with Q2 2026 at $50.7M [1]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2. </w:t>
      </w:r>
      <w:r>
        <w:rPr>
          <w:rFonts w:ascii="Calibri" w:hAnsi="Calibri"/>
          <w:b w:val="0"/>
          <w:color w:val="3A4A28"/>
          <w:sz w:val="20"/>
        </w:rPr>
        <w:t>Label and indication expansion plus NK/T-cell pipeline data readouts to widen the addressable market [1]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3. </w:t>
      </w:r>
      <w:r>
        <w:rPr>
          <w:rFonts w:ascii="Calibri" w:hAnsi="Calibri"/>
          <w:b w:val="0"/>
          <w:color w:val="3A4A28"/>
          <w:sz w:val="20"/>
        </w:rPr>
        <w:t>Capital-markets access and financing improving cash runway beyond $381M [1]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DC2626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KEY RISKS</w:t>
            </w:r>
          </w:p>
        </w:tc>
      </w:tr>
    </w:tbl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1. </w:t>
      </w:r>
      <w:r>
        <w:rPr>
          <w:rFonts w:ascii="Calibri" w:hAnsi="Calibri"/>
          <w:b w:val="0"/>
          <w:color w:val="3A4A28"/>
          <w:sz w:val="20"/>
        </w:rPr>
        <w:t>Cash burn and balance-sheet fragility: $381M cash and stockholders' deficit against an unprofitable P&amp;L [1][2]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2. </w:t>
      </w:r>
      <w:r>
        <w:rPr>
          <w:rFonts w:ascii="Calibri" w:hAnsi="Calibri"/>
          <w:b w:val="0"/>
          <w:color w:val="3A4A28"/>
          <w:sz w:val="20"/>
        </w:rPr>
        <w:t>Valuation of about $10.9B on roughly $200M annualized revenue leaves little room for launch disappointment [1]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3. </w:t>
      </w:r>
      <w:r>
        <w:rPr>
          <w:rFonts w:ascii="Calibri" w:hAnsi="Calibri"/>
          <w:b w:val="0"/>
          <w:color w:val="3A4A28"/>
          <w:sz w:val="20"/>
        </w:rPr>
        <w:t>Founder control, leadership and morale issues (32% recommend), and AI-related operational and security risks cited in company filings [2]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AI RESILIENCE (25%)</w:t>
            </w:r>
          </w:p>
        </w:tc>
      </w:tr>
    </w:tbl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AI Resilience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16A34A"/>
          <w:sz w:val="16"/>
        </w:rPr>
        <w:t xml:space="preserve"> LOW RISK </w:t>
      </w:r>
    </w:p>
    <w:p>
      <w:pPr>
        <w:spacing w:before="0" w:after="40"/>
      </w:pPr>
      <w:r>
        <w:rPr>
          <w:rFonts w:ascii="Calibri" w:hAnsi="Calibri"/>
          <w:b/>
          <w:color w:val="16A34A"/>
          <w:sz w:val="28"/>
        </w:rPr>
        <w:t>7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3858"/>
            <w:shd w:fill="16A34A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1654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AI Risk Protection (7/9): Oncology therapeutics are regulated, physical biologics requiring FDA approval, trials and manufacturing, so AI cannot substitute ANKTIVA or cell therapies, and AI is more likely a drug-discovery tool than a threat [2]. The company itself lists AI mainly as an operational and information-security risk rather than a business threat [2]. AI Opportunity (0/1): no AI revenue is generated.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FAITH ALIGNMENT — INSPIRE INSIGHT</w:t>
            </w:r>
          </w:p>
        </w:tc>
      </w:tr>
    </w:tbl>
    <w:p>
      <w:pPr>
        <w:spacing w:after="40"/>
      </w:pPr>
      <w:r>
        <w:rPr>
          <w:rFonts w:ascii="Calibri" w:hAnsi="Calibri"/>
          <w:b w:val="0"/>
          <w:color w:val="6E8450"/>
          <w:sz w:val="22"/>
        </w:rPr>
        <w:t xml:space="preserve">Inspire Impact Score:  </w:t>
      </w:r>
      <w:r>
        <w:rPr>
          <w:rFonts w:ascii="Calibri" w:hAnsi="Calibri"/>
          <w:b/>
          <w:color w:val="DC2626"/>
          <w:sz w:val="28"/>
        </w:rPr>
        <w:t>-62</w:t>
      </w:r>
      <w:r>
        <w:rPr>
          <w:rFonts w:ascii="Calibri" w:hAnsi="Calibri"/>
          <w:b/>
          <w:color w:val="B8860B"/>
          <w:sz w:val="20"/>
        </w:rPr>
        <w:t xml:space="preserve">    MISALIGNED</w:t>
      </w:r>
    </w:p>
    <w:p>
      <w:pPr>
        <w:spacing w:before="80" w:after="40"/>
      </w:pPr>
      <w:r>
        <w:rPr>
          <w:rFonts w:ascii="Calibri" w:hAnsi="Calibri"/>
          <w:b/>
          <w:color w:val="6E8450"/>
          <w:sz w:val="18"/>
        </w:rPr>
        <w:t xml:space="preserve">Negative: </w:t>
      </w:r>
      <w:r>
        <w:rPr>
          <w:rFonts w:ascii="Calibri" w:hAnsi="Calibri"/>
          <w:b/>
          <w:color w:val="DC2626"/>
          <w:sz w:val="17"/>
        </w:rPr>
        <w:t xml:space="preserve"> Embryonic Stem Cells </w:t>
      </w:r>
    </w:p>
    <w:p>
      <w:pPr>
        <w:spacing w:before="80" w:after="40"/>
      </w:pPr>
      <w:r>
        <w:rPr>
          <w:rFonts w:ascii="Calibri" w:hAnsi="Calibri"/>
          <w:b/>
          <w:color w:val="6E8450"/>
          <w:sz w:val="18"/>
        </w:rPr>
        <w:t xml:space="preserve">Positive: </w:t>
      </w:r>
      <w:r>
        <w:rPr>
          <w:rFonts w:ascii="Calibri" w:hAnsi="Calibri"/>
          <w:b/>
          <w:color w:val="16A34A"/>
          <w:sz w:val="17"/>
        </w:rPr>
        <w:t xml:space="preserve"> Customer Welfare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Energy Management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Ethical Sales Practices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Ethical Supply Chain Management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Hiring Ethics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Product Access and Affordability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Product Safety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Regulatory Adherence </w:t>
      </w:r>
    </w:p>
    <w:p>
      <w:pPr>
        <w:spacing w:before="120"/>
      </w:pPr>
      <w:r>
        <w:rPr>
          <w:rFonts w:ascii="Calibri" w:hAnsi="Calibri"/>
          <w:b w:val="0"/>
          <w:color w:val="9DAF88"/>
          <w:sz w:val="15"/>
        </w:rPr>
        <w:t>Source: Inspire Insight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RESOURCES</w:t>
            </w:r>
          </w:p>
        </w:tc>
      </w:tr>
    </w:tbl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1. </w:t>
      </w:r>
      <w:r>
        <w:rPr>
          <w:rFonts w:ascii="Calibri" w:hAnsi="Calibri"/>
          <w:b w:val="0"/>
          <w:color w:val="3A4A28"/>
          <w:sz w:val="17"/>
        </w:rPr>
        <w:t>ImmunityBio Q2 2026 and Q1 2026 results press releases (record net product revenue $50.7M, cash $381M), 2026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2. </w:t>
      </w:r>
      <w:r>
        <w:rPr>
          <w:rFonts w:ascii="Calibri" w:hAnsi="Calibri"/>
          <w:b w:val="0"/>
          <w:color w:val="3A4A28"/>
          <w:sz w:val="17"/>
        </w:rPr>
        <w:t>Glassdoor ImmunityBio reviews; ImmunityBio Form 10-Q (June 30, 2026) AI risk disclosures; TipRanks risk factors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3. </w:t>
      </w:r>
      <w:r>
        <w:rPr>
          <w:rFonts w:ascii="Calibri" w:hAnsi="Calibri"/>
          <w:b w:val="0"/>
          <w:color w:val="3A4A28"/>
          <w:sz w:val="17"/>
        </w:rPr>
        <w:t>ESG-specific coverage for ImmunityBio not found; ESG search returned only general research, accessed October 2026</w:t>
      </w:r>
    </w:p>
    <w:p>
      <w:pPr>
        <w:spacing w:before="400"/>
        <w:jc w:val="center"/>
      </w:pPr>
      <w:r>
        <w:rPr>
          <w:rFonts w:ascii="Calibri" w:hAnsi="Calibri"/>
          <w:b w:val="0"/>
          <w:color w:val="9DAF88"/>
          <w:sz w:val="16"/>
        </w:rPr>
        <w:t>Paradiem, LLC dba Intentional Ownership (“IOWN”) is a registered investment advisor. The information provided is for educational and informational purposes only and does not constitute investment advice.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