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ICE</w:t>
      </w:r>
      <w:r>
        <w:rPr>
          <w:rFonts w:ascii="Calibri" w:hAnsi="Calibri"/>
          <w:b/>
          <w:color w:val="1A2010"/>
          <w:sz w:val="40"/>
        </w:rPr>
        <w:t xml:space="preserve">  Intercontinental Exchange, Inc.</w:t>
      </w:r>
    </w:p>
    <w:p>
      <w:pPr>
        <w:spacing w:after="120"/>
      </w:pPr>
      <w:r>
        <w:rPr>
          <w:rFonts w:ascii="Calibri" w:hAnsi="Calibri"/>
          <w:b/>
          <w:color w:val="6E8450"/>
          <w:sz w:val="18"/>
        </w:rPr>
        <w:t>GROWTH SLEEVE · 2026-09-01 · Inspire: 39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Financial Data &amp; Stock Exchanges · NYSE · United States</w:t>
      </w:r>
    </w:p>
    <w:p>
      <w:pPr>
        <w:spacing w:after="80"/>
      </w:pPr>
      <w:r>
        <w:rPr>
          <w:rFonts w:ascii="Calibri" w:hAnsi="Calibri"/>
          <w:b w:val="0"/>
          <w:color w:val="3A4A28"/>
          <w:sz w:val="20"/>
        </w:rPr>
        <w:t>Intercontinental Exchange, Inc. operates regulated exchanges, clearing houses, and data services across financial and commodity markets globally. ICE owns the New York Stock Exchange, the world's largest stock exchange by listed-company market capitalization, and is a leading operator of energy, agricultural, credit, and fixed income exchanges and clearing houses. The company also provides mortgage technology, data analytics, and connectivity services through its Fixed Income &amp; Data Services and Mortgage Technology segments.</w:t>
      </w:r>
    </w:p>
    <w:p>
      <w:r>
        <w:rPr>
          <w:rFonts w:ascii="Calibri" w:hAnsi="Calibri"/>
          <w:b/>
          <w:color w:val="6E8450"/>
          <w:sz w:val="18"/>
        </w:rPr>
        <w:t>12,844 Employees · https://www.theice.com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Innovation Track Record (2/3): ICE's $11.7B acquisition of Black Knight in 2023 was a transformative move that created an end-to-end mortgage technology platform, diversifying well beyond the core exchange business [1]. AI Deployment (1/2): ICE launched AI-powered mortgage servicing agents and integrated AI into fixed income data analytics, though these products are still scaling and haven't yet reported specific revenue figures [5]. Market Share Leadership (2/2): NYSE is the world's largest stock exchange by market capitalization; ICE is the dominant venue for Brent crude and other energy futures, with leading positions in credit default swaps [1]. Product Pipeline (1/2): ICE is expanding into digital assets, sustainable finance data through the Urgentem acquisition, and private credit analytics, with several products in development [6]. R&amp;D Intensity (1/1): $850M capex guidance for 2026 on ~$13B revenue represents above-average technology investment for financial exchanges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ICE's stated mission is to 'design, build and operate the digital networks that connect people to opportunity' — clear and purposeful but not deeply distinctive among financial infrastructure companies. Community Impact (1/2): ICE publishes annual sustainability reports since 2016 and the NYSE Foundation supports charitable causes including hosting bell-ringing ceremonies for nonprofits [6]. Employee Retention (0/2): Glassdoor rating of 3.2/5 based on ~1,956 reviews is below average for the financial technology sector, with mixed feedback on management culture and reports of ego-driven leadership above direct management level [4]. Insider Buying (0/2): No evidence of meaningful net insider buying by CEO Sprecher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Exceptionally strong financial profile with D/E of 69% just under the 70% target, forward P/E of 19.55 under the 20 target, and profit margin of 38.25% nearly double the 20% target [2]. ROE of 14.09% narrowly misses the 15% target but is solid. Revenue growth of 7% YoY and 8.9% 5yr CAGR are slightly below the 10% target but well above floors. Forward PEG of 1.50 represents moderate growth-adjusted valuation [2]. Liquidity is excellent with 3.2M shares daily volume at $160.70 per share (~$515M daily traded value)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ICE demonstrates a mixed infinite game profile. Founder-CEO Jeff Sprecher has led the company for 26 years with a consistent vision of digitizing and connecting global markets, showing genuine long-term orientation. The company has shown remarkable existential flexibility, transforming from a small energy exchange into a diversified financial infrastructure powerhouse. However, the company's acquisitive growth strategy and competitive language suggest a more finite competitive orientation.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ICE's vision of 'connecting people to opportunity' through digital market infrastructure has been consistent for over two decades under founder-CEO Sprecher. The vision has guided strategic decisions from energy exchange to NYSE acquisition to mortgage technology — each move extending the same thesis of digitizing market access. While genuine and validated by execution, it reads more as a business strategy than a transformative Just Cause that inspires sacrifice [6].</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Mixed signals on organizational trust. ICE's 26-year CEO tenure provides leadership stability, and the company retains its entrepreneurial culture despite growing to 12,844 employees [4]. However, Glassdoor reviews (3.2/5) cite ego-driven upper management and difficulty navigating organizational politics, suggesting adequate but not exceptional trust levels. The company has avoided disruptive mass layoffs through its growth phase.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ICE's competitive approach leans finite — the company has grown primarily through aggressive acquisitions (NYSE Euronext, Interactive Data, Ellie Mae, Black Knight) rather than organic competitive improvement [1]. While these acquisitions have been strategically sound, the approach is more about market consolidation than learning from rivals like CME Group or Nasdaq.</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ICE has fundamentally reinvented itself multiple times: from a small Atlanta-based energy exchange founded in 2000 to the acquirer of NYSE Euronext in 2013, then pivoting again into mortgage technology with the $11.7B Black Knight acquisition in 2023 [1][3]. Each transformation was driven by the core thesis of digitizing markets, not desperation. The willingness to bet $11.7B on mortgage technology — far from the core exchange business — while maintaining the exchange franchise demonstrates genuine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Sprecher demonstrated courage by acquiring NYSE Euronext for $8.2B when ICE was a fraction of NYSE's size, and later by betting $11.7B on Black Knight when the mortgage market was under pressure from rising rates [1]. These were costly, contrarian bets that sacrificed near-term earnings for long-term capability. However, the company has also prioritized shareholder returns through buybacks ($1.2B in H1 2026), balancing long-term vision with near-term financial engineering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ICE is a premier financial infrastructure franchise with durable competitive advantages. Q2 2026 net revenues of $2.7B (+5% YoY) and adjusted operating margins of 61% demonstrate the power of its exchange monopoly economics [1]. The NYSE, energy futures, and CDS clearing businesses generate high-margin recurring revenue with deep regulatory moats. The Black Knight integration is progressing, with mortgage technology revenues of $557M in Q2 and management guiding to 7-8% growth in Fixed Income &amp; Data Services recurring revenue [1]. With $2.6B in adjusted free cash flow through H1 2026, a forward P/E of 19.55, and debt-to-equity of just 69%, ICE offers a rare combination of defensive positioning and growth optionality in financial infrastructure.</w:t>
      </w:r>
    </w:p>
    <w:p>
      <w:pPr>
        <w:spacing w:after="120"/>
      </w:pPr>
      <w:r>
        <w:rPr>
          <w:rFonts w:ascii="Calibri" w:hAnsi="Calibri"/>
          <w:b w:val="0"/>
          <w:color w:val="3A4A28"/>
          <w:sz w:val="20"/>
        </w:rPr>
        <w:t>The bear case centers on three risks: AI disruption to ICE's data moat is real, as generative AI tools could commoditize fixed income data aggregation that ICE currently monetizes at premium pricing — this concern contributed to significant share price pressure in early 2026 [5]. The $19.8B debt load from the Black Knight acquisition constrains financial flexibility and means ICE must execute flawlessly on integration to justify the premium paid. Mortgage technology revenues remain cyclically exposed to housing market volumes, and if rates stay elevated through 2027, the mortgage segment could drag on overall growth despite AI-driven product innovation. The 1.29% dividend yield is too low to attract income investors, leaving the stock dependent on earnings growth re-acceleration.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AI-powered mortgage servicing agents could drive higher attach rates and pricing power in the $557M/quarter Mortgage Technology segment as the housing cycle recovers</w:t>
      </w:r>
    </w:p>
    <w:p>
      <w:pPr>
        <w:spacing w:before="40" w:after="40"/>
        <w:ind w:left="283"/>
      </w:pPr>
      <w:r>
        <w:rPr>
          <w:rFonts w:ascii="Calibri" w:hAnsi="Calibri"/>
          <w:b/>
          <w:color w:val="4A6B25"/>
          <w:sz w:val="20"/>
        </w:rPr>
        <w:t xml:space="preserve">2. </w:t>
      </w:r>
      <w:r>
        <w:rPr>
          <w:rFonts w:ascii="Calibri" w:hAnsi="Calibri"/>
          <w:b w:val="0"/>
          <w:color w:val="3A4A28"/>
          <w:sz w:val="20"/>
        </w:rPr>
        <w:t>Private credit and sustainable finance data products expanding ICE's addressable market beyond traditional exchange and fixed income data</w:t>
      </w:r>
    </w:p>
    <w:p>
      <w:pPr>
        <w:spacing w:before="40" w:after="40"/>
        <w:ind w:left="283"/>
      </w:pPr>
      <w:r>
        <w:rPr>
          <w:rFonts w:ascii="Calibri" w:hAnsi="Calibri"/>
          <w:b/>
          <w:color w:val="4A6B25"/>
          <w:sz w:val="20"/>
        </w:rPr>
        <w:t xml:space="preserve">3. </w:t>
      </w:r>
      <w:r>
        <w:rPr>
          <w:rFonts w:ascii="Calibri" w:hAnsi="Calibri"/>
          <w:b w:val="0"/>
          <w:color w:val="3A4A28"/>
          <w:sz w:val="20"/>
        </w:rPr>
        <w:t>Potential interest rate cuts in late 2026-2027 would revive mortgage origination volumes and unlock latent value in the Black Knight platform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Generative AI commoditizing fixed income data aggregation that ICE currently monetizes at premium margins, eroding the proprietary data moat</w:t>
      </w:r>
    </w:p>
    <w:p>
      <w:pPr>
        <w:spacing w:before="40" w:after="40"/>
        <w:ind w:left="283"/>
      </w:pPr>
      <w:r>
        <w:rPr>
          <w:rFonts w:ascii="Calibri" w:hAnsi="Calibri"/>
          <w:b/>
          <w:color w:val="4A6B25"/>
          <w:sz w:val="20"/>
        </w:rPr>
        <w:t xml:space="preserve">2. </w:t>
      </w:r>
      <w:r>
        <w:rPr>
          <w:rFonts w:ascii="Calibri" w:hAnsi="Calibri"/>
          <w:b w:val="0"/>
          <w:color w:val="3A4A28"/>
          <w:sz w:val="20"/>
        </w:rPr>
        <w:t>$19.8B debt load from Black Knight acquisition limits financial flexibility and creates execution risk if mortgage technology integration stalls</w:t>
      </w:r>
    </w:p>
    <w:p>
      <w:pPr>
        <w:spacing w:before="40" w:after="40"/>
        <w:ind w:left="283"/>
      </w:pPr>
      <w:r>
        <w:rPr>
          <w:rFonts w:ascii="Calibri" w:hAnsi="Calibri"/>
          <w:b/>
          <w:color w:val="4A6B25"/>
          <w:sz w:val="20"/>
        </w:rPr>
        <w:t xml:space="preserve">3. </w:t>
      </w:r>
      <w:r>
        <w:rPr>
          <w:rFonts w:ascii="Calibri" w:hAnsi="Calibri"/>
          <w:b w:val="0"/>
          <w:color w:val="3A4A28"/>
          <w:sz w:val="20"/>
        </w:rPr>
        <w:t>Regulatory changes to exchange fee structures or clearing mandates could compress margins in the core exchange business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ICE's core exchange and clearing house businesses are deeply regulated, capital-intensive physical infrastructure with high switching costs — structurally difficult for AI to displace [1]. However, the Fixed Income &amp; Data Services segment faces moderate AI disruption risk as generative AI could lower barriers to entry for financial data aggregation and analytics, and the Mortgage Technology segment could see AI-driven competitors offering cheaper workflow automation [5]. Analysts have flagged that AI could erode ICE's proprietary data moats in fixed income, contributing to share price pressure in early 2026. AI Opportunity (1/1): ICE is actively deploying AI mortgage servicing agents and AI-enhanced data products, generating early-stage revenue from AI-driven analytics and workflow automation tools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Intercontinental Exchange Q2 2026 Earnings Release, ir.theice.com, July 2026</w:t>
      </w:r>
    </w:p>
    <w:p>
      <w:pPr>
        <w:spacing w:before="20" w:after="20"/>
        <w:ind w:left="170"/>
      </w:pPr>
      <w:r>
        <w:rPr>
          <w:rFonts w:ascii="Calibri" w:hAnsi="Calibri"/>
          <w:b/>
          <w:color w:val="4A6B25"/>
          <w:sz w:val="15"/>
        </w:rPr>
        <w:t xml:space="preserve">2. </w:t>
      </w:r>
      <w:r>
        <w:rPr>
          <w:rFonts w:ascii="Calibri" w:hAnsi="Calibri"/>
          <w:b w:val="0"/>
          <w:color w:val="3A4A28"/>
          <w:sz w:val="17"/>
        </w:rPr>
        <w:t>Stock Analysis — ICE key statistics and valuation metrics,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WallStreetZen — ICE annual revenue history 2016-2026,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Glassdoor — Intercontinental Exchange employee reviews (3.2/5, 1,956 reviews),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Simply Wall St — ICE AI mortgage tools and private credit analysis, 2026</w:t>
      </w:r>
    </w:p>
    <w:p>
      <w:pPr>
        <w:spacing w:before="20" w:after="20"/>
        <w:ind w:left="170"/>
      </w:pPr>
      <w:r>
        <w:rPr>
          <w:rFonts w:ascii="Calibri" w:hAnsi="Calibri"/>
          <w:b/>
          <w:color w:val="4A6B25"/>
          <w:sz w:val="15"/>
        </w:rPr>
        <w:t xml:space="preserve">6. </w:t>
      </w:r>
      <w:r>
        <w:rPr>
          <w:rFonts w:ascii="Calibri" w:hAnsi="Calibri"/>
          <w:b w:val="0"/>
          <w:color w:val="3A4A28"/>
          <w:sz w:val="17"/>
        </w:rPr>
        <w:t>Intercontinental Exchange Annual Sustainability Report and Corporate Responsibility Reports, 2021-2025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