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ICLR</w:t>
      </w:r>
      <w:r>
        <w:rPr>
          <w:rFonts w:ascii="Calibri" w:hAnsi="Calibri"/>
          <w:b/>
          <w:color w:val="1A2010"/>
          <w:sz w:val="40"/>
        </w:rPr>
        <w:t xml:space="preserve">  ICON plc</w:t>
      </w:r>
    </w:p>
    <w:p>
      <w:pPr>
        <w:spacing w:after="120"/>
      </w:pPr>
      <w:r>
        <w:rPr>
          <w:rFonts w:ascii="Calibri" w:hAnsi="Calibri"/>
          <w:b/>
          <w:color w:val="6E8450"/>
          <w:sz w:val="18"/>
        </w:rPr>
        <w:t>GROWTH SLEEVE · 2026-09-14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NASDAQ · Ireland</w:t>
      </w:r>
    </w:p>
    <w:p>
      <w:pPr>
        <w:spacing w:after="80"/>
      </w:pPr>
      <w:r>
        <w:rPr>
          <w:rFonts w:ascii="Calibri" w:hAnsi="Calibri"/>
          <w:b w:val="0"/>
          <w:color w:val="3A4A28"/>
          <w:sz w:val="20"/>
        </w:rPr>
        <w:t>ICON plc is one of the world's largest clinical research organizations (CROs), providing outsourced development and commercialization services to pharmaceutical, biotechnology, and medical device companies. Following the transformative 2021 acquisition of PRA Health Sciences, ICON operates a record $23.4B backlog with a 1.42 book-to-bill ratio, serving clients across all phases of clinical development globally. Q2 2026 revenue was $2.06B (+1.2% YoY) with $3.1B in net business wins. FY2026 guidance is $7.85-$8.15B revenue and $10.00-$11.00 adjusted EPS. Headquartered in Dublin, Ireland.</w:t>
      </w:r>
    </w:p>
    <w:p>
      <w:r>
        <w:rPr>
          <w:rFonts w:ascii="Calibri" w:hAnsi="Calibri"/>
          <w:b/>
          <w:color w:val="6E8450"/>
          <w:sz w:val="18"/>
        </w:rPr>
        <w:t>42,000 Employees · https://www.iconplc.com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2021 PRA Health Sciences acquisition was transformative, making ICON the world's second-largest CRO and nearly doubling revenue from $3.1B to $7.7B [1]. More recently, ICON launched the Orbis agentic AI platform in partnership with Microsoft to modernize clinical trial workflows using Azure and 365 Copilot [3]. However, no additional business model transformation beyond the PRA integration in the last 5 years. AI Deployment (1/2): ICON won the AI Project of the Year Award for its enterprise-grade AI Assistant that streamlines work across functions using large language models [3]. The Microsoft partnership will deploy AI tools across the Orbis platform for clinical trial optimization. However, no specific AI-driven revenue gains or cost savings have been quantified. Market Share (2/2): ICON is a top-3 global CRO with a record $22.7B backlog and 1.42 book-to-bill ratio in Q1 2026, demonstrating dominant competitive positioning in clinical research outsourcing [1][2]. Product Pipeline (1/2): The Orbis AI platform with Microsoft partnership represents next-generation capability, and expansion into non-traditional CRO services is underway, but specific launch timelines and revenue projections for new offerings are vague [3]. R&amp;D Intensity (0/1): CROs do not have traditional R&amp;D spending; technology investment data is not separately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ICON's stated purpose centers on advancing clinical research and improving patient outcomes through innovative trial execution. While meaningful in the healthcare context, the mission is largely interchangeable with any major CRO peer such as IQVIA or PPD and does not articulate a deeper purpose beyond the core business description. Community Impact (1/2): ICON earned a Platinum medal from EcoVadis in 2026 with a score of 87/100 and was named by TIME magazine as one of the World's Best Companies in Sustainable Growth 2025, the highest-ranked CRO [7]. The ICON Cares program supports community initiatives, though specific charitable dollar amounts are not publicly quantified. Employee Retention (1/2): CEO Barry Balfe is a 20-year ICON veteran promoted from COO in October 2025, demonstrating strong internal culture and leadership continuity [4]. Joe Cronin serves as Chief Human Resources Officer responsible for organizational leadership and culture. However, no specific retention metrics or average tenure data are publicly available. Insider Buying (0/2): No meaningful net insider buying was identified in the last 12 months. The company executed a $750M share buyback program, but that is corporate capital allocation, not personal insider conviction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ICON reported Q1 2026 revenue of $2.03B, roughly flat year-over-year at 0.9% growth, with FY2026 guidance of $7.85B-$8.15B representing a potential 3% decline from FY2025 revenue of $8.25B [1][2]. The GAAP net profit margin of 2.8% is depressed by the ongoing internal investigation into 2023-2024 revenue recognition, which indicated revenue may have been overstated by less than 2% for each year [4]. D/E of 38% reflects conservative leverage following the PRA integration and debt paydown. ROE of 6.27% is below the 15% target but positive. The 5-year revenue CAGR of 22% is inflated by the PRA acquisition but demonstrates significant scale growth. Forward P/E of 16x based on FY2026 adjusted EPS guidance of $10-$11 is well below the 20x target, and PEG of 1.92 is reasonable [5]. Growth stock weights: D/E (1.0), ROE (0.42), Rev Growth YoY (0.57), Rev Growth 5yr CAGR (1.0), Forward P/E (1.0), Profit Margin (0.14), Forward PEG (0.54). Weighted sum 6.62 / max 10 = 6.6, rounds to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ICON operates more as a well-managed services business than an infinite game player. The company's purpose is essentially its business description without a deeper Just Cause that transcends the CRO industry. The accounting investigation revealing potential revenue overstatement in 2023-2024 raises governance concerns that conflict with infinite game principles of transparency and trust. The smooth CEO transition from Dr. Steve Cutler to Barry Balfe, a 20-year veteran, demonstrates organizational continuity, and the PRA acquisition showed strategic ambition, but ICON's language and behavior are oriented around operational efficiency and market share rather than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ICON's purpose of advancing clinical research and improving patient outcomes is meaningful in the healthcare context but reads as a business description rather than a Just Cause. The mission is interchangeable with any CRO peer. Leadership references clinical innovation and operational excellence in strategic discussions, but there is no evidence of a transcendent vision that shapes decisions beyond what is commercially rational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Barry Balfe's 20-year internal career path from operational roles to CEO suggests a culture that develops and retains talent [4]. Joe Cronin as dedicated CHRO signals organizational investment in people practices. However, the 2026 internal investigation into 2023-2024 revenue recognition practices raises serious questions about internal controls and whether the organization's information flow supports transparency. The board has responded with governance reforms and new independent directors, but the control weakness undermines confidence in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ICON's leadership acknowledging competitors' strengths or framing competition as motivation to improve. The CRO industry is highly competitive with IQVIA, PPD (Thermo Fisher), and Parexel, but ICON's public commentary focuses on its own operational capabilities and scale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PRA Health Sciences acquisition was a transformative strategic move that doubled ICON's scale and expanded its capabilities across the clinical development spectrum. More recently, the Orbis AI platform and Microsoft partnership represent a strategic shift toward technology-enabled CRO services [3]. These demonstrate meaningful adaptation, though the core business model of outsourced clinical research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ICON invested significantly in the PRA Health Sciences acquisition despite integration risks, and is now investing in the Orbis AI platform and Microsoft partnership to transform clinical trial operations [3]. The board's response to the accounting investigation, appointing new independent directors and strengthening governance, shows willingness to address problems. However, the investigation itself suggests leadership failed to maintain adequate financial controls during a period of rapid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ICON plc enters Q3 2026 as one of the world's largest CROs with a record $22.7B backlog and 1.42 book-to-bill ratio, demonstrating strong demand for clinical research outsourcing despite near-term headwinds [1]. The Microsoft partnership for Orbis AI platform deployment across ICON's operations represents a genuine competitive differentiator in the CRO space, where AI-enabled trial management could accelerate timelines and reduce sponsor costs [3]. Q1 2026 revenue of $2.03B beat consensus, adjusted EPS of $2.50 exceeded the $2.43 estimate, and the company reaffirmed FY2026 guidance of $7.85B-$8.15B in revenue and $10-$11 in adjusted EPS [1][2]. The 38% D/E ratio and $750M completed buyback program signal financial discipline and balance sheet strength.</w:t>
      </w:r>
    </w:p>
    <w:p>
      <w:pPr>
        <w:spacing w:after="120"/>
      </w:pPr>
      <w:r>
        <w:rPr>
          <w:rFonts w:ascii="Calibri" w:hAnsi="Calibri"/>
          <w:b w:val="0"/>
          <w:color w:val="3A4A28"/>
          <w:sz w:val="20"/>
        </w:rPr>
        <w:t>The accounting investigation remains a material overhang. Preliminary indications that 2023 and 2024 revenue may have been overstated by less than 2% created board-level governance reforms and eroded market trust [4]. GAAP profitability is severely depressed at 2.8% net margin due to investigation-related costs, and adjusted EPS guidance of $10-$11 represents a significant decline from pre-investigation levels. Revenue is effectively flat to declining: FY2026 guidance midpoint of $8.0B represents a 3% decline from FY2025's $8.25B, raising questions about organic growth momentum in a competitive CRO market. The trailing P/E of 58x on depressed GAAP earnings makes valuation difficult to assess, and eventual resolution of the accounting review could result in financial restatements that further pressure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AI partnership deployment across Orbis platform driving measurable efficiency gains and potential new client wins in AI-enabled clinical trial management</w:t>
      </w:r>
    </w:p>
    <w:p>
      <w:pPr>
        <w:spacing w:before="40" w:after="40"/>
        <w:ind w:left="283"/>
      </w:pPr>
      <w:r>
        <w:rPr>
          <w:rFonts w:ascii="Calibri" w:hAnsi="Calibri"/>
          <w:b/>
          <w:color w:val="4A6B25"/>
          <w:sz w:val="20"/>
        </w:rPr>
        <w:t xml:space="preserve">2. </w:t>
      </w:r>
      <w:r>
        <w:rPr>
          <w:rFonts w:ascii="Calibri" w:hAnsi="Calibri"/>
          <w:b w:val="0"/>
          <w:color w:val="3A4A28"/>
          <w:sz w:val="20"/>
        </w:rPr>
        <w:t>Resolution of the 2023-2024 revenue recognition investigation, which would remove the governance overhang and normalize GAAP profitability from the current depressed 2.8% margin</w:t>
      </w:r>
    </w:p>
    <w:p>
      <w:pPr>
        <w:spacing w:before="40" w:after="40"/>
        <w:ind w:left="283"/>
      </w:pPr>
      <w:r>
        <w:rPr>
          <w:rFonts w:ascii="Calibri" w:hAnsi="Calibri"/>
          <w:b/>
          <w:color w:val="4A6B25"/>
          <w:sz w:val="20"/>
        </w:rPr>
        <w:t xml:space="preserve">3. </w:t>
      </w:r>
      <w:r>
        <w:rPr>
          <w:rFonts w:ascii="Calibri" w:hAnsi="Calibri"/>
          <w:b w:val="0"/>
          <w:color w:val="3A4A28"/>
          <w:sz w:val="20"/>
        </w:rPr>
        <w:t>Record $22.7B backlog with 1.42 book-to-bill converting to accelerating revenue growth in H2 2026 and FY2027, validating ICON's post-PRA competitive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Accounting investigation could reveal more extensive revenue overstatement than the preliminary less-than-2% estimate, potentially triggering financial restatements, litigation, and further governance disruption</w:t>
      </w:r>
    </w:p>
    <w:p>
      <w:pPr>
        <w:spacing w:before="40" w:after="40"/>
        <w:ind w:left="283"/>
      </w:pPr>
      <w:r>
        <w:rPr>
          <w:rFonts w:ascii="Calibri" w:hAnsi="Calibri"/>
          <w:b/>
          <w:color w:val="4A6B25"/>
          <w:sz w:val="20"/>
        </w:rPr>
        <w:t xml:space="preserve">2. </w:t>
      </w:r>
      <w:r>
        <w:rPr>
          <w:rFonts w:ascii="Calibri" w:hAnsi="Calibri"/>
          <w:b w:val="0"/>
          <w:color w:val="3A4A28"/>
          <w:sz w:val="20"/>
        </w:rPr>
        <w:t>FY2026 revenue guidance of $7.85B-$8.15B represents a decline from FY2025's $8.25B, suggesting the large CRO market may be experiencing pricing pressure or slower biotech R&amp;D spending</w:t>
      </w:r>
    </w:p>
    <w:p>
      <w:pPr>
        <w:spacing w:before="40" w:after="40"/>
        <w:ind w:left="283"/>
      </w:pPr>
      <w:r>
        <w:rPr>
          <w:rFonts w:ascii="Calibri" w:hAnsi="Calibri"/>
          <w:b/>
          <w:color w:val="4A6B25"/>
          <w:sz w:val="20"/>
        </w:rPr>
        <w:t xml:space="preserve">3. </w:t>
      </w:r>
      <w:r>
        <w:rPr>
          <w:rFonts w:ascii="Calibri" w:hAnsi="Calibri"/>
          <w:b w:val="0"/>
          <w:color w:val="3A4A28"/>
          <w:sz w:val="20"/>
        </w:rPr>
        <w:t>AI disruption risk to traditional CRO labor-intensive services as competitors deploying AI-native clinical trial platforms could compress ICON's margins and reduce demand for its workforce-dependent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ICON's core CRO business involves managing complex clinical trials across multiple geographies, regulatory jurisdictions, and therapeutic areas requiring physical site monitoring, human investigator relationships, FDA/EMA regulatory expertise, and patient safety oversight that AI cannot substitute [1]. The $22.7B backlog represents years of committed sponsor relationships and regulatory infrastructure. However, AI poses meaningful disruption risk to specific CRO functions: automated data management, AI-powered patient recruitment and matching, protocol optimization, and clinical data analytics could reduce demand for some of ICON's labor-intensive services over time. AI Opportunity (1/1): ICON is actively generating value from AI through its Orbis agentic AI platform and enterprise AI Assistant which won AI Project of the Year. The Microsoft partnership for Azure and 365 Copilot integration across ICON's operations demonstrates AI is being deployed to enhance clinical trial workflows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ICON plc Q1 2026 Earnings Release and Backlog Data — GuruFocus and Yahoo Finance, April 2026</w:t>
      </w:r>
    </w:p>
    <w:p>
      <w:pPr>
        <w:spacing w:before="20" w:after="20"/>
        <w:ind w:left="170"/>
      </w:pPr>
      <w:r>
        <w:rPr>
          <w:rFonts w:ascii="Calibri" w:hAnsi="Calibri"/>
          <w:b/>
          <w:color w:val="4A6B25"/>
          <w:sz w:val="15"/>
        </w:rPr>
        <w:t xml:space="preserve">2. </w:t>
      </w:r>
      <w:r>
        <w:rPr>
          <w:rFonts w:ascii="Calibri" w:hAnsi="Calibri"/>
          <w:b w:val="0"/>
          <w:color w:val="3A4A28"/>
          <w:sz w:val="17"/>
        </w:rPr>
        <w:t>ICON plc FY2026 Revenue and EPS Guidance Update — GuruFocus, June 2026</w:t>
      </w:r>
    </w:p>
    <w:p>
      <w:pPr>
        <w:spacing w:before="20" w:after="20"/>
        <w:ind w:left="170"/>
      </w:pPr>
      <w:r>
        <w:rPr>
          <w:rFonts w:ascii="Calibri" w:hAnsi="Calibri"/>
          <w:b/>
          <w:color w:val="4A6B25"/>
          <w:sz w:val="15"/>
        </w:rPr>
        <w:t xml:space="preserve">3. </w:t>
      </w:r>
      <w:r>
        <w:rPr>
          <w:rFonts w:ascii="Calibri" w:hAnsi="Calibri"/>
          <w:b w:val="0"/>
          <w:color w:val="3A4A28"/>
          <w:sz w:val="17"/>
        </w:rPr>
        <w:t>ICON plc Microsoft AI Partnership and Orbis Platform Announcement — TimothySykes, June 2026</w:t>
      </w:r>
    </w:p>
    <w:p>
      <w:pPr>
        <w:spacing w:before="20" w:after="20"/>
        <w:ind w:left="170"/>
      </w:pPr>
      <w:r>
        <w:rPr>
          <w:rFonts w:ascii="Calibri" w:hAnsi="Calibri"/>
          <w:b/>
          <w:color w:val="4A6B25"/>
          <w:sz w:val="15"/>
        </w:rPr>
        <w:t xml:space="preserve">4. </w:t>
      </w:r>
      <w:r>
        <w:rPr>
          <w:rFonts w:ascii="Calibri" w:hAnsi="Calibri"/>
          <w:b w:val="0"/>
          <w:color w:val="3A4A28"/>
          <w:sz w:val="17"/>
        </w:rPr>
        <w:t>ICON plc Internal Investigation, CEO Transition, and Governance Updates — StockTitan and Wedbush, February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ICLR Statistics and Valuation Metrics, accessed July 2026</w:t>
      </w:r>
    </w:p>
    <w:p>
      <w:pPr>
        <w:spacing w:before="20" w:after="20"/>
        <w:ind w:left="170"/>
      </w:pPr>
      <w:r>
        <w:rPr>
          <w:rFonts w:ascii="Calibri" w:hAnsi="Calibri"/>
          <w:b/>
          <w:color w:val="4A6B25"/>
          <w:sz w:val="15"/>
        </w:rPr>
        <w:t xml:space="preserve">6. </w:t>
      </w:r>
      <w:r>
        <w:rPr>
          <w:rFonts w:ascii="Calibri" w:hAnsi="Calibri"/>
          <w:b w:val="0"/>
          <w:color w:val="3A4A28"/>
          <w:sz w:val="17"/>
        </w:rPr>
        <w:t>ICON plc 2025 Annual Report (20-F) and Buyback Program — SEC Filings, 2026</w:t>
      </w:r>
    </w:p>
    <w:p>
      <w:pPr>
        <w:spacing w:before="20" w:after="20"/>
        <w:ind w:left="170"/>
      </w:pPr>
      <w:r>
        <w:rPr>
          <w:rFonts w:ascii="Calibri" w:hAnsi="Calibri"/>
          <w:b/>
          <w:color w:val="4A6B25"/>
          <w:sz w:val="15"/>
        </w:rPr>
        <w:t xml:space="preserve">7. </w:t>
      </w:r>
      <w:r>
        <w:rPr>
          <w:rFonts w:ascii="Calibri" w:hAnsi="Calibri"/>
          <w:b w:val="0"/>
          <w:color w:val="3A4A28"/>
          <w:sz w:val="17"/>
        </w:rPr>
        <w:t>ICON plc EcoVadis Platinum Medal (87/100) and TIME Sustainable Growth Recognition — ICON Investor Relations,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