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ICL</w:t>
      </w:r>
      <w:r>
        <w:rPr>
          <w:rFonts w:ascii="Calibri" w:hAnsi="Calibri"/>
          <w:b/>
          <w:color w:val="1A2010"/>
          <w:sz w:val="40"/>
        </w:rPr>
        <w:t xml:space="preserve">  ICL Group Ltd.</w:t>
      </w:r>
    </w:p>
    <w:p>
      <w:pPr>
        <w:spacing w:after="120"/>
      </w:pPr>
      <w:r>
        <w:rPr>
          <w:rFonts w:ascii="Calibri" w:hAnsi="Calibri"/>
          <w:b/>
          <w:color w:val="6E8450"/>
          <w:sz w:val="18"/>
        </w:rPr>
        <w:t>DIVIDEND SLEEVE · 2026-09-18 · Inspire: 64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Specialty Chemicals · NYSE · Israel</w:t>
      </w:r>
    </w:p>
    <w:p>
      <w:pPr>
        <w:spacing w:after="80"/>
      </w:pPr>
      <w:r>
        <w:rPr>
          <w:rFonts w:ascii="Calibri" w:hAnsi="Calibri"/>
          <w:b w:val="0"/>
          <w:color w:val="3A4A28"/>
          <w:sz w:val="20"/>
        </w:rPr>
        <w:t>ICL Group Ltd. is a global specialty minerals and chemicals company operating through four segments: Potash, Phosphate Solutions, Growing Solutions, and Industrial Products. The company extracts minerals from the Dead Sea in Israel and mines potash in Spain, producing fertilizers, phosphoric acid, specialty chemicals, and food additives. ICL reported Q2 2026 sales of $2.1B (+17% YoY) with adjusted EBITDA of $448M (+28%) and raised 2026 EBITDA guidance by $100M to $1.5B-$1.7B. The company is expanding into specialty fertilizers with a new manufacturing facility in India and invests in agricultural innovation through its BIG corporate innovation program. Market cap approximately $7.1B.</w:t>
      </w:r>
    </w:p>
    <w:p>
      <w:r>
        <w:rPr>
          <w:rFonts w:ascii="Calibri" w:hAnsi="Calibri"/>
          <w:b/>
          <w:color w:val="6E8450"/>
          <w:sz w:val="18"/>
        </w:rPr>
        <w:t>12,500 Employees · https://www.icl-group.com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ICL has incrementally diversified from commodity potash into specialty minerals and chemicals, with the new specialty fertilizer manufacturing facility in India (2026) representing a meaningful geographic expansion [1][3]. The BIG corporate innovation program encourages intrapreneurship, but no transformative product launch or business model pivot has occurred in the last 5 years — the company remains fundamentally a mining and chemical processing operation. AI Deployment (0/2): No AI-powered products shipping to customers. ICL recognizes the potential of big data, IoT, and AI for precision agriculture but has not deployed measurable AI-driven solutions or reported AI-related efficiency gains [3]. Market Share (1/2): ICL holds a dominant position in Dead Sea mineral extraction (exclusive concession) and is among the global leaders in potash and specialty phosphate production, providing structural competitive advantage through irreplaceable mineral deposits [1][2]. Product Pipeline (1/2): The India specialty fertilizer facility is operational, and ICL has general R&amp;D programs in phosphate solutions and growing solutions, but no specific next-gen products with named launch dates and revenue visibility have been publicly announced beyond incremental product extensions. R&amp;D Intensity (0/1): ICL's R&amp;D spending is modest relative to specialty chemicals peers, with innovation driven more through the BIG program and partnerships than through top-quartile R&amp;D investment as a percentage of revenue.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ICL's purpose of nourishing and feeding a growing global population through sustainable mineral and chemical solutions is clear, connects the company's work to something larger than profit, and differentiates from pure commodity players [3]. The company explicitly frames its mission around food security and sustainability, and the new India facility directly advances this purpose by bringing specialty fertilizers closer to smallholder farmers. Community Impact (1/2): ICL published its 2025 ESG report with comprehensive sustainability metrics, received an 'Advanced' corporate governance rating from an Israeli ESG rating firm, and has set a net-zero emissions target by 2050 [4]. However, no specific charitable foundation dollar amounts or distinctive community programs were identified beyond general corporate sustainability commitments. Employee Retention (0/2): Glassdoor ratings of 3.1-3.3 out of 5 with only 52% of employees recommending working there indicate average-to-below-average employee sentiment for the industry; no specific retention or tenure data available [3]. Insider Buying (0/2): No evidence of meaningful net insider buying by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for a Dividend stock. ICL's strengths are its low D/E of 50% (below the 70% target), attractive Forward P/E of 12.56x (below the 20x target), strong consecutive years of dividend payment (19+ years, 2x weight), and 5-year dividend growth CAGR of 7.86% (above the 6% target, 2x weight) [5]. Revenue growth of 17% YoY in Q2 2026 was driven by recovering potash prices and strong phosphate demand, well above the 10% target [1]. The primary drags are weak ROE of 5.04% (target 15%), thin net profit margin of 3.52% (target 20%), and high payout ratio of 75% (target ≤40%). The 5-year revenue CAGR of approximately 6% reflects the volatile path from $5.3B (2020) through the $10B potash price peak (2022) back to $7.15B (2025) [5]. Consecutive years of dividend growth is limited to approximately 1 year due to dividend cuts following the 2022 potash price normalization. Liquidity floor easily cleared with daily trading value of approximately $7.1M.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ICL Group demonstrates mixed infinite-game characteristics. The company has a genuine purpose around feeding a growing world population through sustainable mineral solutions, and the 19+ year dividend history reflects long-term orientation. The strategic expansion from commodity potash into specialty minerals, chemicals, and the India facility shows incremental flexibility. However, the recent CEO transition, average Glassdoor ratings (52% recommend), and commodity-driven financial volatility suggest the company oscillates between long-term purpose execution and short-term earnings management driven by potash price cycles. ICL is building for the long term in its specialty segments while remaining hostage to quarterly potash price swings in its core business.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ICL's purpose of feeding a growing global population through sustainable mineral and chemical solutions is genuine, specific, and larger than any single product or business line [3]. The company's strategic decisions — investing in the India specialty fertilizer facility, pursuing the BIG innovation program, targeting net-zero by 2050 — connect back to this agricultural sustainability mission. However, the cause has not been tested through a crisis that required sacrificing profitable business for the mission, and the commodity price dependency means earnings remain more correlated to potash markets than to purpose execution.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ICL has a stable organizational structure with consistent leadership and a people-centric culture emphasizing integrity, accountability, and empowerment [3]. The company has operated continuously for decades with relatively stable headcount of approximately 12,500 employees globally. However, Glassdoor ratings of 3.1-3.3 out of 5 with only 52% recommendation rate indicate average employee sentiment — not a low-trust environment but no evidence of exceptional organizational trust or psychological safety.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ICL's competitive communications focus on market share positions and production capacity rather than learning from competitors [3]. The specialty minerals and chemicals industry tends toward commodity-oriented competitive framing. No evidence of management commentary acknowledging specific competitors' strengths as motivation for self-improvement or framing competition as a catalyst for getting better rather than winning market share.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ICL has evolved incrementally from a commodity potash and phosphate miner into a diversified specialty minerals and chemicals company, expanding into growing solutions (specialty fertilizers), industrial products (bromine, flame retardants), and phosphate solutions [1][2]. The India facility represents geographic diversification toward high-growth emerging markets. However, these are extensions of the existing mining-to-chemicals value chain, not transformative pivots — the core business model of extracting and processing minerals remains unchanged.</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ICL invested in the India specialty fertilizer manufacturing facility during a period of commodity price uncertainty, demonstrating willingness to make long-term bets on geographic expansion [1][3]. The company raised 2026 EBITDA guidance by $100M, reflecting confidence in execution. The BIG innovation program represents institutional investment in long-term capability. However, these are strategic growth investments rather than costly sacrifices of near-term earnings for purpose — ICL has not walked away from profitable but misaligned business lines.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ICL Group at 12.56x forward earnings offers value exposure to the global food security megatrend through a diversified specialty minerals platform. Q2 2026 revenue of $2.1B (+17% YoY) and adjusted EBITDA of $448M (+28%) demonstrate accelerating earnings power as potash prices recover and specialty segments grow, prompting management to raise 2026 EBITDA guidance by $100M to $1.5B-$1.7B [1]. The Dead Sea concession provides an irreplaceable mineral asset with structural competitive advantage, and the expansion into specialty fertilizers (India facility) positions ICL to capture the precision agriculture opportunity. The 3.26% dividend yield with 19+ years of consecutive payments provides income while investors wait for commodity cycle tailwinds, and the Inspire Impact Score of 64 (ALIGNED) makes ICL eligible for faith-based investment mandates [4].</w:t>
      </w:r>
    </w:p>
    <w:p>
      <w:pPr>
        <w:spacing w:after="120"/>
      </w:pPr>
      <w:r>
        <w:rPr>
          <w:rFonts w:ascii="Calibri" w:hAnsi="Calibri"/>
          <w:b w:val="0"/>
          <w:color w:val="3A4A28"/>
          <w:sz w:val="20"/>
        </w:rPr>
        <w:t>The bear case centers on commodity price volatility, weak profitability metrics, and geopolitical risk. Net profit margin of 3.52% and ROE of 5.04% are well below specialty chemicals peers, reflecting the capital-intensive mining operations and volatile potash/phosphate pricing that caused a revenue roller-coaster from $5.3B (2020) to $10B (2022 peak) back to $7.15B (2025) [5]. The payout ratio of 75% is elevated — if potash prices decline again (as they did from 2022 highs), dividend sustainability becomes questionable and the company may be forced to cut payouts as it did post-2022. Israel-based operations introduce geopolitical risk premium given ongoing regional security concerns, and the Dead Sea concession renewal terms remain a long-term uncertainty. EPS growth of 33% YoY is impressive but largely reflects recovering from a cyclical trough rather than structural earnings improvement. The 5-year revenue CAGR of 6% masks extreme annual volatility and suggests the company's growth trajectory is commodity-cycle-driven rather than secular.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Recovering potash and phosphate prices driving Q2 2026 revenue +17% YoY and EBITDA +28%, with raised full-year 2026 EBITDA guidance of $1.5B-$1.7B (up $100M) suggesting continued commodity tailwinds [1]</w:t>
      </w:r>
    </w:p>
    <w:p>
      <w:pPr>
        <w:spacing w:before="40" w:after="40"/>
        <w:ind w:left="283"/>
      </w:pPr>
      <w:r>
        <w:rPr>
          <w:rFonts w:ascii="Calibri" w:hAnsi="Calibri"/>
          <w:b/>
          <w:color w:val="4A6B25"/>
          <w:sz w:val="20"/>
        </w:rPr>
        <w:t xml:space="preserve">2. </w:t>
      </w:r>
      <w:r>
        <w:rPr>
          <w:rFonts w:ascii="Calibri" w:hAnsi="Calibri"/>
          <w:b w:val="0"/>
          <w:color w:val="3A4A28"/>
          <w:sz w:val="20"/>
        </w:rPr>
        <w:t>India specialty fertilizer manufacturing facility expansion positioning ICL to capture growing demand for precision agriculture inputs in the world's largest agricultural market by smallholder farmer count [2][3]</w:t>
      </w:r>
    </w:p>
    <w:p>
      <w:pPr>
        <w:spacing w:before="40" w:after="40"/>
        <w:ind w:left="283"/>
      </w:pPr>
      <w:r>
        <w:rPr>
          <w:rFonts w:ascii="Calibri" w:hAnsi="Calibri"/>
          <w:b/>
          <w:color w:val="4A6B25"/>
          <w:sz w:val="20"/>
        </w:rPr>
        <w:t xml:space="preserve">3. </w:t>
      </w:r>
      <w:r>
        <w:rPr>
          <w:rFonts w:ascii="Calibri" w:hAnsi="Calibri"/>
          <w:b w:val="0"/>
          <w:color w:val="3A4A28"/>
          <w:sz w:val="20"/>
        </w:rPr>
        <w:t>Strategic shift toward higher-margin specialty chemicals and growing solutions reducing commodity price sensitivity over time — specialty segments carry structurally higher margins than commodity potash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Potash and phosphate price volatility drove revenue from $5.3B (2020) to $10B (2022) back to $7.15B (2025) — another commodity downcycle could compress EBITDA well below the $1.5B-$1.7B guidance range and force dividend cuts as occurred post-2022 [5]</w:t>
      </w:r>
    </w:p>
    <w:p>
      <w:pPr>
        <w:spacing w:before="40" w:after="40"/>
        <w:ind w:left="283"/>
      </w:pPr>
      <w:r>
        <w:rPr>
          <w:rFonts w:ascii="Calibri" w:hAnsi="Calibri"/>
          <w:b/>
          <w:color w:val="4A6B25"/>
          <w:sz w:val="20"/>
        </w:rPr>
        <w:t xml:space="preserve">2. </w:t>
      </w:r>
      <w:r>
        <w:rPr>
          <w:rFonts w:ascii="Calibri" w:hAnsi="Calibri"/>
          <w:b w:val="0"/>
          <w:color w:val="3A4A28"/>
          <w:sz w:val="20"/>
        </w:rPr>
        <w:t>Net profit margin of 3.52% and ROE of 5.04% indicate weak capital efficiency relative to specialty chemicals peers, and the 75% payout ratio leaves minimal cushion for earnings decline before dividend sustainability is threatened [5]</w:t>
      </w:r>
    </w:p>
    <w:p>
      <w:pPr>
        <w:spacing w:before="40" w:after="40"/>
        <w:ind w:left="283"/>
      </w:pPr>
      <w:r>
        <w:rPr>
          <w:rFonts w:ascii="Calibri" w:hAnsi="Calibri"/>
          <w:b/>
          <w:color w:val="4A6B25"/>
          <w:sz w:val="20"/>
        </w:rPr>
        <w:t xml:space="preserve">3. </w:t>
      </w:r>
      <w:r>
        <w:rPr>
          <w:rFonts w:ascii="Calibri" w:hAnsi="Calibri"/>
          <w:b w:val="0"/>
          <w:color w:val="3A4A28"/>
          <w:sz w:val="20"/>
        </w:rPr>
        <w:t>Geopolitical risk from Israel-based operations including Dead Sea mineral extraction facilities, with regional security concerns and long-term Dead Sea concession renewal uncertainty creating structural risk premium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ICL's core business — mining potash from the Dead Sea, extracting phosphates, manufacturing specialty chemicals and fertilizers — is structurally immune to AI disruption [1][2]. Physical resource extraction, chemical processing, and agricultural input manufacturing cannot be replaced by software. If anything, AI increases demand for ICL's products: precision agriculture powered by AI requires more targeted specialty fertilizers (ICL's growing solutions segment), and AI-driven data centers require bromine-based flame retardants (ICL's industrial products segment). The Dead Sea concession provides an irreplaceable mineral deposit that no amount of AI innovation can replicate. Analysts see zero substitution risk for the core business, though commodity price volatility (potash, phosphate) remains the primary earnings risk factor independent of AI. AI Opportunity (0/1): ICL does not generate quantifiable revenue from AI-related products or services. The company discusses digital agriculture and IoT potential but has not shipped AI-powered products or reported AI-driven revenue contributions.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ICL Group Q2 2026 Results — Sales $2.1B (+17% YoY), Adjusted EBITDA $448M (+28%), Adjusted Net Income $149M (+35%), Guidance Raised $100M, August 2026</w:t>
      </w:r>
    </w:p>
    <w:p>
      <w:pPr>
        <w:spacing w:before="20" w:after="20"/>
        <w:ind w:left="170"/>
      </w:pPr>
      <w:r>
        <w:rPr>
          <w:rFonts w:ascii="Calibri" w:hAnsi="Calibri"/>
          <w:b/>
          <w:color w:val="4A6B25"/>
          <w:sz w:val="15"/>
        </w:rPr>
        <w:t xml:space="preserve">2. </w:t>
      </w:r>
      <w:r>
        <w:rPr>
          <w:rFonts w:ascii="Calibri" w:hAnsi="Calibri"/>
          <w:b w:val="0"/>
          <w:color w:val="3A4A28"/>
          <w:sz w:val="17"/>
        </w:rPr>
        <w:t>ICL Group Q1 2026 Results — Revenue $2.0B (+14% YoY), Adjusted EBITDA $412M (+15%), Potash and Phosphate Divisions Strong Growth, May 2026</w:t>
      </w:r>
    </w:p>
    <w:p>
      <w:pPr>
        <w:spacing w:before="20" w:after="20"/>
        <w:ind w:left="170"/>
      </w:pPr>
      <w:r>
        <w:rPr>
          <w:rFonts w:ascii="Calibri" w:hAnsi="Calibri"/>
          <w:b/>
          <w:color w:val="4A6B25"/>
          <w:sz w:val="15"/>
        </w:rPr>
        <w:t xml:space="preserve">3. </w:t>
      </w:r>
      <w:r>
        <w:rPr>
          <w:rFonts w:ascii="Calibri" w:hAnsi="Calibri"/>
          <w:b w:val="0"/>
          <w:color w:val="3A4A28"/>
          <w:sz w:val="17"/>
        </w:rPr>
        <w:t>ICL Group Corporate Profile — BIG Innovation Program, India Specialty Fertilizer Facility, Leadership and Culture, icl-group.com,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ICL Group 2025 ESG Report — Governance Rating Upgraded to 'Advanced', Net-Zero 2050 Target, Sustainability Initiatives, June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StockAnalysis, GuruFocus — ICL Key Statistics: Forward P/E 12.56x, ROE 5.04%, Profit Margin 3.52%, Dividend Yield 3.26%, Stock Price $5.53,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