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ICON</w:t>
      </w:r>
      <w:r>
        <w:rPr>
          <w:rFonts w:ascii="Calibri" w:hAnsi="Calibri"/>
          <w:b/>
          <w:color w:val="1A2010"/>
          <w:sz w:val="40"/>
        </w:rPr>
        <w:t xml:space="preserve">  Icon Energy Corp.</w:t>
      </w:r>
    </w:p>
    <w:p>
      <w:pPr>
        <w:spacing w:after="120"/>
      </w:pPr>
      <w:r>
        <w:rPr>
          <w:rFonts w:ascii="Calibri" w:hAnsi="Calibri"/>
          <w:b/>
          <w:color w:val="6E8450"/>
          <w:sz w:val="18"/>
        </w:rPr>
        <w:t>GROWTH SLEEVE · 2026-10-01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18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Marine Shipping · NASDAQ · Greece</w:t>
      </w:r>
    </w:p>
    <w:p>
      <w:pPr>
        <w:spacing w:after="80"/>
      </w:pPr>
      <w:r>
        <w:rPr>
          <w:rFonts w:ascii="Calibri" w:hAnsi="Calibri"/>
          <w:b w:val="0"/>
          <w:color w:val="3A4A28"/>
          <w:sz w:val="20"/>
        </w:rPr>
        <w:t>Icon Energy Corp. is a Greek-based micro-cap shipping company providing seaborne transportation services for dry bulk cargoes through a fleet of three oceangoing vessels — one Panamax (77,326 dwt), one Kamsarmax (81,448 dwt), and one Ultramax (63,668 dwt). Incorporated in 2023 as a subsidiary of Atlantis Holding Corp., the company reported Q1 2026 net revenue of $3.6M (up 139% YoY) with charter rates averaging $14,000/day and swung to net income of $417K versus a $3.0M net loss a year earlier.</w:t>
      </w:r>
    </w:p>
    <w:p>
      <w:r>
        <w:rPr>
          <w:rFonts w:ascii="Calibri" w:hAnsi="Calibri"/>
          <w:b/>
          <w:color w:val="6E8450"/>
          <w:sz w:val="18"/>
        </w:rPr>
        <w:t>https://www.icon-nrg.com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Icon Energy operates three dry bulk vessels with no product launches, market pivots, or business model transformations — the company simply deploys capital into standard shipping assets [1]. Revenue growth of 139% in Q1 2026 reflects fleet expansion (M/V Charlie added June 2025) and charter rate improvements, not innovation. AI Deployment (0/2): No AI deployment or strategy evident; the company operates conventional dry bulk shipping operations with no technology differentiation [2]. Market Share (0/2): Icon Energy is a micro-cap with $3.4M market cap and three vessels in a fragmented global dry bulk market of thousands of ships — no market share leadership or meaningful competitive position [2]. Product Pipeline (0/2): No next-generation products or services announced; growth is limited to potential vessel acquisitions [1]. R&amp;D Intensity (0/1): No R&amp;D spending; dry bulk shipping is a commodity transportation service with no research component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No mission, purpose, or vision statement found on Icon Energy's website or public materials — the company describes itself solely as providing 'seaborne transportation services for dry bulk cargoes' with no articulation of purpose beyond generating shareholder returns [1][2]. Community Impact (0/2): No evidence of charitable programs, community investment, or social impact initiatives; the company is too small and too new to have established philanthropic activities [2]. Employee Retention (0/2): No employee data available — the company does not disclose headcount and is too small for any public culture or retention data [2]. Insider Buying (0/2): No evidence of meaningful insider buying by CEO Ismini Evangelia Panagiotidi or other executives; management team average tenure is only 2.3 years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dollar volume of approximately $205K (217,977 shares x $0.94) falls well below the $1,000,000 minimum threshold, automatically setting Infrastructure to 0 regardless of other metrics [2]. Without the floor, the stock would score approximately 4/10 based on available metrics: D/E of 123.6% is elevated but below the 300% floor (score 0.77), revenue growth of 107% YoY scores 1.0, but ROE of -3.6% (score 0.0) and profit margin of -5.6% (score 0.0) reflect unprofitable operations [2][3]. The company carries $33.8M in debt against $7.7M cash with only $15.5M trailing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0</w:t>
      </w:r>
      <w:r>
        <w:rPr>
          <w:rFonts w:ascii="Calibri" w:hAnsi="Calibri"/>
          <w:b w:val="0"/>
          <w:color w:val="9DAF88"/>
          <w:sz w:val="18"/>
        </w:rPr>
        <w:t xml:space="preserve"> /10</w:t>
      </w:r>
    </w:p>
    <w:p>
      <w:pPr>
        <w:spacing w:after="120"/>
      </w:pPr>
      <w:r>
        <w:rPr>
          <w:rFonts w:ascii="Calibri" w:hAnsi="Calibri"/>
          <w:b w:val="0"/>
          <w:color w:val="3A4A28"/>
          <w:sz w:val="18"/>
        </w:rPr>
        <w:t>Icon Energy is a 3-year-old micro-cap shipping company with no articulated purpose beyond profit, no track record of strategic courage, no public culture data, and no competitive learning mindset. The company operates three vessels to generate charter revenue — this is pure finite-game execution with no evidence of infinite-game thinking at any level. The management team's average tenure of 2.3 years and the company's status as an Atlantis Holding Corp. subsidiary suggest this is an asset-deployment vehicle, not a purpose-driven enterprise.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evident — Icon Energy exists to deploy capital into dry bulk vessels and generate charter revenue for its parent company Atlantis Holding Corp [1][3]. There is no articulated vision of a better future, no mission statement, and no evidence that the company's existence serves any purpose beyond shareholder returns. This is a textbook finite player.</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data available on organizational culture, employee sentiment, or management dynamics [2]. The company is too small to have Glassdoor reviews or public culture assessments. Management team average tenure of 2.3 years provides minimal insight into trust levels. CEO Panagiotidi has led since August 2023 but no information about leadership style or organizational health is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learning-oriented competitive mindset [1][2]. The company does not reference competitors, competitive dynamics, or self-improvement in any available public communications. As a micro-cap with three vessels in a market of thousands, competitive positioning appears passive rather than strategic.</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company was incorporated in 2023 and has never faced a strategic inflection point or existential test [3]. Operating three dry bulk vessels is the only business model the company has ever known. Too young and too narrowly focused to evaluate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strategic decisions — the company has simply accumulated vessels and operated them at prevailing charter rates [1]. No examples of leadership sacrificing near-term results for long-term capability. Fleet expansion from 2 to 3 vessels is standard capital deployment, not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Icon Energy's Q1 2026 results showed momentum with revenue of $3.6M (up 139% YoY), charter rates improving 63% to $14,000/day per vessel, and fleet expansion to three vessels providing a 50% increase in operating days [1]. The swing to net income of $417K versus a $3.0M loss a year prior demonstrates operating leverage inherent in dry bulk shipping when utilization and rates align. Gross margins of 48% suggest solid underlying economics when the fleet is fully deployed, and forecast revenue growth of 22% exceeds the U.S. marine shipping industry average of 1% [2].</w:t>
      </w:r>
    </w:p>
    <w:p>
      <w:pPr>
        <w:spacing w:after="120"/>
      </w:pPr>
      <w:r>
        <w:rPr>
          <w:rFonts w:ascii="Calibri" w:hAnsi="Calibri"/>
          <w:b w:val="0"/>
          <w:color w:val="3A4A28"/>
          <w:sz w:val="20"/>
        </w:rPr>
        <w:t>The bear case is overwhelming for any institutional investor. With a market cap of $3.4M and daily dollar volume under $205K, Icon Energy is essentially untradable — a single block order would move the stock significantly [2]. The company carries $33.8M in debt against $7.7M cash (D/E 124%) with only $15.5M trailing revenue, creating severe leverage risk if charter rates deteriorate. Dry bulk shipping is inherently cyclical, and the current $14,000/day Panamax rates are above historical averages, creating downside risk from normalization [1]. Concentration risk is extreme with only 3 vessels — a single mechanical failure, regulatory hold, or charterer default could eliminate quarterly revenue. No institutional analyst covers the stock, providing zero independent pricing validation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Dry bulk charter rate improvement beyond Q1 2026's $14,000/day average could amplify revenue given fixed vessel operating costs and 48% gross margins [1]</w:t>
      </w:r>
    </w:p>
    <w:p>
      <w:pPr>
        <w:spacing w:before="40" w:after="40"/>
        <w:ind w:left="283"/>
      </w:pPr>
      <w:r>
        <w:rPr>
          <w:rFonts w:ascii="Calibri" w:hAnsi="Calibri"/>
          <w:b/>
          <w:color w:val="4A6B25"/>
          <w:sz w:val="20"/>
        </w:rPr>
        <w:t xml:space="preserve">2. </w:t>
      </w:r>
      <w:r>
        <w:rPr>
          <w:rFonts w:ascii="Calibri" w:hAnsi="Calibri"/>
          <w:b w:val="0"/>
          <w:color w:val="3A4A28"/>
          <w:sz w:val="20"/>
        </w:rPr>
        <w:t>Potential fleet expansion beyond 3 vessels would increase operating days and revenue capacity, leveraging fixed overhead across a larger asset base [1]</w:t>
      </w:r>
    </w:p>
    <w:p>
      <w:pPr>
        <w:spacing w:before="40" w:after="40"/>
        <w:ind w:left="283"/>
      </w:pPr>
      <w:r>
        <w:rPr>
          <w:rFonts w:ascii="Calibri" w:hAnsi="Calibri"/>
          <w:b/>
          <w:color w:val="4A6B25"/>
          <w:sz w:val="20"/>
        </w:rPr>
        <w:t xml:space="preserve">3. </w:t>
      </w:r>
      <w:r>
        <w:rPr>
          <w:rFonts w:ascii="Calibri" w:hAnsi="Calibri"/>
          <w:b w:val="0"/>
          <w:color w:val="3A4A28"/>
          <w:sz w:val="20"/>
        </w:rPr>
        <w:t>Global commodity trade recovery, particularly in iron ore and grain shipments, could sustain demand for Panamax and Kamsarmax vessels in the medium term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approximately $205K is far below the $1M institutional liquidity floor, making the stock untradable for any managed portfolio and creating severe exit risk [2]</w:t>
      </w:r>
    </w:p>
    <w:p>
      <w:pPr>
        <w:spacing w:before="40" w:after="40"/>
        <w:ind w:left="283"/>
      </w:pPr>
      <w:r>
        <w:rPr>
          <w:rFonts w:ascii="Calibri" w:hAnsi="Calibri"/>
          <w:b/>
          <w:color w:val="4A6B25"/>
          <w:sz w:val="20"/>
        </w:rPr>
        <w:t xml:space="preserve">2. </w:t>
      </w:r>
      <w:r>
        <w:rPr>
          <w:rFonts w:ascii="Calibri" w:hAnsi="Calibri"/>
          <w:b w:val="0"/>
          <w:color w:val="3A4A28"/>
          <w:sz w:val="20"/>
        </w:rPr>
        <w:t>Concentration risk with only 3 vessels means a single incident — mechanical failure, regulatory hold, extended dry dock, or charterer default — could eliminate 33%+ of quarterly revenue [1][3]</w:t>
      </w:r>
    </w:p>
    <w:p>
      <w:pPr>
        <w:spacing w:before="40" w:after="40"/>
        <w:ind w:left="283"/>
      </w:pPr>
      <w:r>
        <w:rPr>
          <w:rFonts w:ascii="Calibri" w:hAnsi="Calibri"/>
          <w:b/>
          <w:color w:val="4A6B25"/>
          <w:sz w:val="20"/>
        </w:rPr>
        <w:t xml:space="preserve">3. </w:t>
      </w:r>
      <w:r>
        <w:rPr>
          <w:rFonts w:ascii="Calibri" w:hAnsi="Calibri"/>
          <w:b w:val="0"/>
          <w:color w:val="3A4A28"/>
          <w:sz w:val="20"/>
        </w:rPr>
        <w:t>Dry bulk shipping rates are highly cyclical and could deteriorate rapidly from $14,000/day if global trade slows, new vessel supply enters the market, or commodity demand shifts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Dry bulk shipping is a physical-world operation that AI structurally cannot displace — oceangoing vessels must physically transport coal, grain, iron ore, and other commodities regardless of AI advances [1]. The business requires maritime assets, port infrastructure, and human crews that no software can substitute. However, AI-optimized logistics platforms could reduce freight intermediary margins and increase competitive pressure on smaller operators through more efficient route planning and fleet utilization by larger competitors. AI Opportunity (0/1): Icon Energy generates zero revenue from AI products or services and has no AI deployment evident in its operations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Icon Energy Corp Q1 2026 Commercial Update — NASDAQ Press Release, Investing.com, StockTitan, March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Simply Wall St — ICON Key Statistics, Forecasts, and Management Analysis,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Icon Energy Corp SEC Filing — Form 6-K, FY2024</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