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IMVT</w:t>
      </w:r>
      <w:r>
        <w:rPr>
          <w:rFonts w:ascii="Calibri" w:hAnsi="Calibri"/>
          <w:b/>
          <w:color w:val="1A2010"/>
          <w:sz w:val="40"/>
        </w:rPr>
        <w:t xml:space="preserve">  Immunovant, Inc.</w:t>
      </w:r>
    </w:p>
    <w:p>
      <w:pPr>
        <w:spacing w:after="120"/>
      </w:pPr>
      <w:r>
        <w:rPr>
          <w:rFonts w:ascii="Calibri" w:hAnsi="Calibri"/>
          <w:b/>
          <w:color w:val="6E8450"/>
          <w:sz w:val="18"/>
        </w:rPr>
        <w:t>GROWTH SLEEVE · 2026-09-21 · Inspire: 27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Immunovant is a clinical-stage biopharmaceutical company focused on developing next-generation antibody therapies targeting FcRn for autoimmune diseases. The company's pipeline is centered on IMVT-1402, with active clinical programs in Graves' disease, difficult-to-treat rheumatoid arthritis, myasthenia gravis, CIDP, Sjogren's disease, and cutaneous lupus erythematosus. Immunovant is a subsidiary of Roivant Sciences, headquartered in Durham, North Carolina.</w:t>
      </w:r>
    </w:p>
    <w:p>
      <w:r>
        <w:rPr>
          <w:rFonts w:ascii="Calibri" w:hAnsi="Calibri"/>
          <w:b/>
          <w:color w:val="6E8450"/>
          <w:sz w:val="18"/>
        </w:rPr>
        <w:t>315 Employees · https://www.immunovant.com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IMVT-1402 is being advanced across 6 autoimmune indications with the potentially registrational D2T RA trial now fully enrolled and topline data expected H2 2026 [1]. R&amp;D spending reached $456.7M in FY2026 (ended March 2026), up 27% YoY, demonstrating aggressive investment in clinical development [1]. The decisive discontinuation of batoclimab after Phase 3 failures and rapid pivot to IMVT-1402 showed strategic discipline. However, the company remains pre-revenue with no commercial products, no meaningful AI deployment in R&amp;D processes, and faces an established competitor in argenx's approved Vyvgart in the FcRn inhibitor class [1][2]. The multi-indication strategy across 6 diseases (GD, D2T RA, MG, CIDP, SjD, CLE) provides multiple shots on goal.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New CEO Eric Venker, M.D., brings over two decades of clinical practice and operational experience from his role as President and COO of Roivant, succeeding Dr. Pete Salzmann who retired [3]. Corporate culture emphasizes 'we win together — no silos, no egos' with a focus on belonging and collaboration [3]. The patient-focused mission addressing autoimmune diseases with significant unmet need (MG, Graves', treatment-resistant RA) is genuinely purposeful [2]. However, with only 315 employees and no products yet reaching patients, the inspirational impact remains aspirational. Prior Glassdoor reviews raised concerns about leadership culture and turnover, and the leadership transition itself signals organizational instability at a critical pipeline stage.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Immunovant is a pre-revenue clinical-stage biotech with zero product sales and a widening annual net loss of $505.6M in FY2026 (up from $413.8M in FY2025) [1]. ROE of -80.1% reflects sustained value destruction against equity, and the $7.6B market cap is built entirely on pipeline optionality [5]. The sole positive metric is zero debt, with $798M in cash providing runway. Forward PE of -13.4 confirms expected continued losses. Revenue growth metrics are N/A for a pre-revenue company. The infrastructure algorithm cannot capture cash runway or pipeline optionality — the score mechanically reflects zero revenue, massive losses, and deeply negative returns. Liquidity floor cleared: 1.23M avg volume x $36.95 = $45.6M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Immunovant demonstrates infinite game qualities through its decisive strategic pivot from failed batoclimab to IMVT-1402, multi-indication pipeline strategy targeting 6 autoimmune diseases, and a $550M financing that extends runway to potential launch. The leadership transition from Salzmann to Venker and Roivant's enhanced operational oversight signal willingness to evolve. However, binary clinical trial dependence, prior culture concerns, and the subsidiary structure create a fundamentally uncertain dynamic where each data readout is existential.</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Immunovant's mission to develop transformative therapies for autoimmune diseases addresses genuine suffering — conditions like myasthenia gravis, Graves' disease, and treatment-resistant RA significantly impair quality of life [2]. The expansion to 6 indications demonstrates commitment to the broader FcRn mechanism rather than a single commercial opportunity. However, the purpose statement is standard biotech positioning, and the Roivant subsidiary structure means strategic direction is partially controlled by the parent company.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Despite corporate messaging of 'no silos, no egos,' prior Glassdoor reviews (2.8/5) described toxic leadership, extreme turnover, and most original employees having departed [3]. The CEO transition from Salzmann to Venker and Roivant's enhanced operational oversight may reset culture, but 315 employees means dysfunction is amplified. The CMO departure and R&amp;D centralization under the CEO concentrates key-person risk at a critical pipeline stage.</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Immunovant uses argenx's commercial success with Vyvgart as validation for the FcRn mechanism rather than viewing argenx purely as a competitor to defeat [2]. IMVT-1402 is differentiated through subcutaneous delivery, deeper IgG reduction, and broader indication targets — using argenx's established position as motivation for a next-generation profile. UCB's rozanolixizumab provides additional competitive benchmarking.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The discontinuation of batoclimab after Phase 3 failure — abandoning the company's original lead asset — and rapid reorientation around IMVT-1402 represent genuine existential flexibility [1]. The December 2025 $550M financing extended cash runway to potential launch, showing financial discipline. Expansion from single-indication to 6 autoimmune targets demonstrates willingness to evolve strategy, though pivots were reactive (forced by clinical failure) rather than proactive.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The batoclimab discontinuation required courage to abandon sunk costs and pivot the entire pipeline [1]. CEO Venker centralized R&amp;D leadership and took personal accountability for execution. The $550M financing in December 2025 at a critical moment demonstrated willingness to dilute to fund the vision [1]. However, the Roivant institutional framework provides support that reduces the personal cost of these decisions, and the simultaneous pursuit of 6 indications concentrates execution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Immunovant is a clinical-stage biotech with a focused FcRn inhibitor pipeline centered on IMVT-1402 across 6 autoimmune indications, trading at a $7.6B market cap with $798M in cash and zero debt [1][5]. The D2T RA registrational trial is fully enrolled with topline data expected H2 2026, representing the next major catalyst for the post-batoclimab pivot [1]. R&amp;D spending of $457M in FY2026 demonstrates aggressive pipeline investment, and the $550M financing in December 2025 extended runway to potential IMVT-1402 launch. The FcRn inhibitor class has been commercially validated by argenx's Vyvgart, confirming the biological mechanism.</w:t>
      </w:r>
    </w:p>
    <w:p>
      <w:pPr>
        <w:spacing w:after="120"/>
      </w:pPr>
      <w:r>
        <w:rPr>
          <w:rFonts w:ascii="Calibri" w:hAnsi="Calibri"/>
          <w:b w:val="0"/>
          <w:color w:val="3A4A28"/>
          <w:sz w:val="20"/>
        </w:rPr>
        <w:t>The bear case centers on binary clinical risk and pre-revenue financial distress. Immunovant has zero revenue, a $506M annual net loss, ROE of -80.1%, and a $7.6B market cap built entirely on pipeline optionality — IMVT-1402 registrational failure would severely impair the valuation [1][5]. The batoclimab Phase 3 failure warns of clinical execution risk. Prior Glassdoor reviews (2.8/5) citing toxic culture and extreme turnover, combined with the CEO transition and CMO departure, raise execution concerns at a critical pipeline stage [3]. Competition from argenx's already-approved Vyvgart and UCB's rozanolixizumab means IMVT-1402 may enter established markets as a later entrant. The Roivant subsidiary structure creates governance complexity. The Inspire score of 27 (ALIGNED) with 7 positive attributions reflects clean ESG positioning for a clinical-stage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D2T RA registrational trial fully enrolled with topline data expected H2 2026 — positive results would be the first pivotal validation of IMVT-1402 and de-risk the broader pipeline [1]</w:t>
      </w:r>
    </w:p>
    <w:p>
      <w:pPr>
        <w:spacing w:before="40" w:after="40"/>
        <w:ind w:left="283"/>
      </w:pPr>
      <w:r>
        <w:rPr>
          <w:rFonts w:ascii="Calibri" w:hAnsi="Calibri"/>
          <w:b/>
          <w:color w:val="4A6B25"/>
          <w:sz w:val="20"/>
        </w:rPr>
        <w:t xml:space="preserve">2. </w:t>
      </w:r>
      <w:r>
        <w:rPr>
          <w:rFonts w:ascii="Calibri" w:hAnsi="Calibri"/>
          <w:b w:val="0"/>
          <w:color w:val="3A4A28"/>
          <w:sz w:val="20"/>
        </w:rPr>
        <w:t>Multi-indication clinical advancement across GD, MG, CIDP, SjD, and CLE with potentially registrational trials, providing multiple catalysts over the next 12-18 months [1][2]</w:t>
      </w:r>
    </w:p>
    <w:p>
      <w:pPr>
        <w:spacing w:before="40" w:after="40"/>
        <w:ind w:left="283"/>
      </w:pPr>
      <w:r>
        <w:rPr>
          <w:rFonts w:ascii="Calibri" w:hAnsi="Calibri"/>
          <w:b/>
          <w:color w:val="4A6B25"/>
          <w:sz w:val="20"/>
        </w:rPr>
        <w:t xml:space="preserve">3. </w:t>
      </w:r>
      <w:r>
        <w:rPr>
          <w:rFonts w:ascii="Calibri" w:hAnsi="Calibri"/>
          <w:b w:val="0"/>
          <w:color w:val="3A4A28"/>
          <w:sz w:val="20"/>
        </w:rPr>
        <w:t>New CEO Eric Venker's operational focus and Roivant's enhanced oversight could address prior culture and execution concerns, stabilizing the organization for the commercialization phase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risk — batoclimab Phase 3 failure demonstrates execution vulnerability, and IMVT-1402 registrational failure in D2T RA would severely impair the $7.6B market cap built on zero revenue [1]</w:t>
      </w:r>
    </w:p>
    <w:p>
      <w:pPr>
        <w:spacing w:before="40" w:after="40"/>
        <w:ind w:left="283"/>
      </w:pPr>
      <w:r>
        <w:rPr>
          <w:rFonts w:ascii="Calibri" w:hAnsi="Calibri"/>
          <w:b/>
          <w:color w:val="4A6B25"/>
          <w:sz w:val="20"/>
        </w:rPr>
        <w:t xml:space="preserve">2. </w:t>
      </w:r>
      <w:r>
        <w:rPr>
          <w:rFonts w:ascii="Calibri" w:hAnsi="Calibri"/>
          <w:b w:val="0"/>
          <w:color w:val="3A4A28"/>
          <w:sz w:val="20"/>
        </w:rPr>
        <w:t>Organizational instability — CEO transition, CMO departure, and prior Glassdoor 2.8/5 rating with reports of toxic culture and turnover create execution risk at a critical pipeline stage [3]</w:t>
      </w:r>
    </w:p>
    <w:p>
      <w:pPr>
        <w:spacing w:before="40" w:after="40"/>
        <w:ind w:left="283"/>
      </w:pPr>
      <w:r>
        <w:rPr>
          <w:rFonts w:ascii="Calibri" w:hAnsi="Calibri"/>
          <w:b/>
          <w:color w:val="4A6B25"/>
          <w:sz w:val="20"/>
        </w:rPr>
        <w:t xml:space="preserve">3. </w:t>
      </w:r>
      <w:r>
        <w:rPr>
          <w:rFonts w:ascii="Calibri" w:hAnsi="Calibri"/>
          <w:b w:val="0"/>
          <w:color w:val="3A4A28"/>
          <w:sz w:val="20"/>
        </w:rPr>
        <w:t>Competition from argenx's approved Vyvgart and UCB's rozanolixizumab in the FcRn space, potentially relegating IMVT-1402 to a later-to-market position in key indications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Clinical-stage drug development operates within a heavily regulated framework that AI cannot shortcut — FDA-required Phase 1-3 clinical trials, biological safety testing, GMP manufacturing, and regulatory review create structural barriers ensuring human-administered therapeutics cannot be displaced by AI tools [2]. Immunovant's antibody engineering and FcRn biology expertise require deep domain knowledge in immunology and pharmacology. While AI drug discovery platforms could accelerate competitor timelines, they cannot eliminate the multi-year clinical process required for approval. Company leadership has referenced AI-enabled approaches to accelerate drug development, suggesting openness to AI as a tool [3]. The FcRn inhibitor class treats physical autoimmune conditions requiring biological intervention, not information-based services that AI could substitute.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Immunovant FY2026 Financial Results — Net loss $505.6M, R&amp;D $456.7M, cash $798M, D2T RA fully enrolled, batoclimab discontinued, immunovant.com Press Release, June 2026</w:t>
      </w:r>
    </w:p>
    <w:p>
      <w:pPr>
        <w:spacing w:before="20" w:after="20"/>
        <w:ind w:left="170"/>
      </w:pPr>
      <w:r>
        <w:rPr>
          <w:rFonts w:ascii="Calibri" w:hAnsi="Calibri"/>
          <w:b/>
          <w:color w:val="4A6B25"/>
          <w:sz w:val="15"/>
        </w:rPr>
        <w:t xml:space="preserve">2. </w:t>
      </w:r>
      <w:r>
        <w:rPr>
          <w:rFonts w:ascii="Calibri" w:hAnsi="Calibri"/>
          <w:b w:val="0"/>
          <w:color w:val="3A4A28"/>
          <w:sz w:val="17"/>
        </w:rPr>
        <w:t>Immunovant Q1 FY2027 Corporate Update — Pipeline advancement across 6 indications, topline D2T RA data expected H2 2026, Yahoo Finance, August 2026</w:t>
      </w:r>
    </w:p>
    <w:p>
      <w:pPr>
        <w:spacing w:before="20" w:after="20"/>
        <w:ind w:left="170"/>
      </w:pPr>
      <w:r>
        <w:rPr>
          <w:rFonts w:ascii="Calibri" w:hAnsi="Calibri"/>
          <w:b/>
          <w:color w:val="4A6B25"/>
          <w:sz w:val="15"/>
        </w:rPr>
        <w:t xml:space="preserve">3. </w:t>
      </w:r>
      <w:r>
        <w:rPr>
          <w:rFonts w:ascii="Calibri" w:hAnsi="Calibri"/>
          <w:b w:val="0"/>
          <w:color w:val="3A4A28"/>
          <w:sz w:val="17"/>
        </w:rPr>
        <w:t>Immunovant Leadership Changes — CEO Venker appointed, culture values, Roivant operational oversight, NASDAQ/immunovant.com, 2025-2026</w:t>
      </w:r>
    </w:p>
    <w:p>
      <w:pPr>
        <w:spacing w:before="20" w:after="20"/>
        <w:ind w:left="170"/>
      </w:pPr>
      <w:r>
        <w:rPr>
          <w:rFonts w:ascii="Calibri" w:hAnsi="Calibri"/>
          <w:b/>
          <w:color w:val="4A6B25"/>
          <w:sz w:val="15"/>
        </w:rPr>
        <w:t xml:space="preserve">4. </w:t>
      </w:r>
      <w:r>
        <w:rPr>
          <w:rFonts w:ascii="Calibri" w:hAnsi="Calibri"/>
          <w:b w:val="0"/>
          <w:color w:val="3A4A28"/>
          <w:sz w:val="17"/>
        </w:rPr>
        <w:t>CSRHub — Immunovant ESG rating and sustainability data,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IMVT key statistics, market cap $7.6B, financial ratios,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