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INBX</w:t>
      </w:r>
      <w:r>
        <w:rPr>
          <w:rFonts w:ascii="Calibri" w:hAnsi="Calibri"/>
          <w:b/>
          <w:color w:val="1A2010"/>
          <w:sz w:val="40"/>
        </w:rPr>
        <w:t xml:space="preserve">  Inhibrx Biosciences,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Inhibrx Biosciences is a clinical-stage biotech developing ozekibart (INBRX-109, a DR5 agonist) and INBRX-106 for oncology. It reported no revenue in H1 2026, a Q2 net loss of $36.7M (-$2.34 EPS) and R&amp;D of $23.9M, and trades at about $94 with a $1.4B market cap.</w:t>
      </w:r>
    </w:p>
    <w:p>
      <w:r>
        <w:rPr>
          <w:rFonts w:ascii="Calibri" w:hAnsi="Calibri"/>
          <w:b/>
          <w:color w:val="6E8450"/>
          <w:sz w:val="18"/>
        </w:rPr>
        <w:t>https://www.inhibrx.com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2: spin-out and restructuring after Sanofi acquired INBRX-101, refocusing on ozekibart [1][2]. Pipeline 1: pivotal ozekibart and INBRX-106 data reported but approval timelines unquantified [1]. R&amp;D 1: Q2 R&amp;D of $23.9M against zero revenue is top-tier intensity; no AI deployment or market share evidence (0).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2: clear oncology-for-patients focus without a distinctive deeper purpose [2]. Insider buying 2: CEO Mark Lappe bought 10,000 shares in late September 2026 (roughly $950K) and a prior $998K buy [2]. Retention 1: founding scientists stayed about 15 years, though co-founder CSO Brendan Eckelman departed in 2025 [2]; no community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 score 0: ROE -1774% (2x weight) and profit margin 0% both score 0.0; D/E, revenue growth and forward P/E unavailable or negative and excluded.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Single-asset-dependent biotech with long scientific tenure and a recent leadership reshuffle; purpose is patient-focused but unproven at commercial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Distinctive commitment to developing differentiated biologics for cancer patients, consistently pursued since the original Inhibrx founding, though not yet tested at commercial scale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Adequate: 15-year scientific continuity but a 2025 CSO/President reshuffle after co-founder departure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explicit worthy-rival framing.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Restructured from a multi-asset private company to a focused public ozekibart company; evolutionary rather than transformative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Spin-out structure and selling INBRX-101 to Sanofi funded focus on ozekibart; burning $70M in H1 2026 on clinical trials is a long-term bet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Ozekibart delivered pivotal data in 2026 and INBRX-106 has reported results, with insiders buying about $950K in September [1][2]. A $1.4B market cap on a de-risked pivotal asset gives binary upside on a regulatory filing.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company has zero revenue, lost $70.1M in H1 2026 and trades at about 20x annual burn in market cap [1]. ROE is deeply negative, there is no profit, and the mechanical Infrastructure score is 0 as ROE and margin both floor out; a trial or FDA setback could cut the stock sharply.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Ozekibart regulatory submission and FDA feedback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INBRX-106 combination data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Partnering or financing at favorable valuation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Single-asset concentration in ozekibart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$36.7M quarterly burn requiring dilutive financing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turnover after co-founder CSO exit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Drug development rests on clinical trials and FDA approval, which AI cannot substitute; AI-aided discovery may speed rivals but does not displace an advanced-stage asset [1]. No analyst commentary on AI threat to INBX found;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Inhibrx Biosciences Q2 2026 Results, SEC 8-K,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Inhibrx leadership and CEO Mark Lappe Form 4 purchases, Investing.com/Kalkine,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