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INDV</w:t>
      </w:r>
      <w:r>
        <w:rPr>
          <w:rFonts w:ascii="Calibri" w:hAnsi="Calibri"/>
          <w:b/>
          <w:color w:val="1A2010"/>
          <w:sz w:val="40"/>
        </w:rPr>
        <w:t xml:space="preserve">  Indivior Pharmaceuticals, Inc.</w:t>
      </w:r>
    </w:p>
    <w:p>
      <w:pPr>
        <w:spacing w:after="120"/>
      </w:pPr>
      <w:r>
        <w:rPr>
          <w:rFonts w:ascii="Calibri" w:hAnsi="Calibri"/>
          <w:b/>
          <w:color w:val="6E8450"/>
          <w:sz w:val="18"/>
        </w:rPr>
        <w:t>GROWTH SLEEVE · 2026-09-07 · Inspire: 18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Specialty Pharmaceuticals · NASDAQ · United States</w:t>
      </w:r>
    </w:p>
    <w:p>
      <w:pPr>
        <w:spacing w:after="80"/>
      </w:pPr>
      <w:r>
        <w:rPr>
          <w:rFonts w:ascii="Calibri" w:hAnsi="Calibri"/>
          <w:b w:val="0"/>
          <w:color w:val="3A4A28"/>
          <w:sz w:val="20"/>
        </w:rPr>
        <w:t>Indivior Pharmaceuticals, Inc. is a specialty pharmaceutical company focused on addiction science, developing and commercializing treatments for opioid use disorder (OUD) and serious mental health conditions. The company's lead product, SUBLOCADE (buprenorphine extended-release injection), is the market-leading long-acting injectable treatment for OUD with over 500,000 U.S. patients prescribed since launch. Redomiciled from the UK to the U.S. in October 2024, headquartered in Richmond, Virginia. Q1 2026 revenue reached $317M (+19% YoY) with SUBLOCADE growing 32%, and Q2 2026 delivered another guidance raise with SUBLOCADE posting 21% revenue growth and record 32,816 new patient starts.</w:t>
      </w:r>
    </w:p>
    <w:p>
      <w:r>
        <w:rPr>
          <w:rFonts w:ascii="Calibri" w:hAnsi="Calibri"/>
          <w:b/>
          <w:color w:val="6E8450"/>
          <w:sz w:val="18"/>
        </w:rPr>
        <w:t>838 Employees · https://www.indivior.com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SUBLOCADE transformed OUD treatment with the first monthly injectable buprenorphine formulation, growing from launch in 2018 to $856M in 2025 net revenue with over 500,000 patients prescribed — a genuine product revolution in addiction medicine [1][2]. Q2 2026 delivered another guidance raise with 21% SUBLOCADE revenue growth and record 32,816 new patient starts [6]. The transition from Suboxone film (facing generic erosion) to SUBLOCADE as the primary revenue driver represents a successful business model transformation. AI Deployment (0/2): No evidence of AI-powered products, AI-driven drug discovery, or quantified AI operational efficiencies. Indivior's R&amp;D pipeline relies on traditional pharmaceutical development methods [3]. Market Share (2/2): SUBLOCADE is the clear market leader in long-acting injectable OUD treatment with 32% revenue growth in Q1 2026 to $232M, record new patient starts, and accelerating U.S. dispense unit volume growth of 20% [1]. Indivior is defining and leading this treatment category. Product Pipeline (0/2): Both pipeline candidates failed in early 2026 — INDV-6001 development was discontinued and INDV-2000 failed its Phase 2 primary endpoint, with the company now exploring external opportunities rather than internal development [1]. No next-generation products remain with specific timelines. R&amp;D Intensity (1/1): Indivior invests meaningfully in addiction science R&amp;D, collaborating with Virginia Tech on remission and treatment outcomes research and maintaining focused expertise in a specialized therapeutic area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Indivior's purpose — 'pioneering life-transforming treatments for addiction and serious mental health conditions' — addresses the opioid epidemic crisis that kills over 100,000 Americans annually and is validated by 25+ years of execution in addiction medicine, culminating in SUBLOCADE's success treating 500,000+ patients [3]. The company's culture is described as 'rooted in integrity, innovation, and compassion' with a guiding principle to 'focus on patient needs to drive decisions' [3]. Falls short of transformative (4/4) because the 2020 DOJ guilty plea and 2024 multistate settlement for marketing violations created tension between stated purpose and historical conduct [5]. Community Impact (1/2): The company operates in a therapeutic area that is inherently community-serving — OUD treatment reduces overdose deaths and supports recovery. Record 32,816 new patient starts in Q2 2026 reflect genuine expansion of patient access [6]. No specific charitable programs or dollar amounts disclosed. Employee Retention (0/2): New CEO appointed May 2025 with 30+ years pharmaceutical experience. Glassdoor rating of 3.4/5 with only 44% recommendation rate and career opportunities rated 2.9/5, indicating a polarized employee experience — reviews describe both 'very good culture' and 'toxic management' [4]. Insider Buying (0/2): $125M corporate buyback in Q1 2026 at $31.45 average price, but no individual insider buying by executives identified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notable exclusions. Q1 2026 delivered $317M revenue (up 19% YoY), GAAP net income of $89M ($0.69 diluted EPS), and record adjusted EBITDA of $164M at a 52% margin [1]. Q2 2026 prompted a second guidance raise to $1.215-1.285B total revenue and $950-990M SUBLOCADE revenue with 51% adjusted EBITDA margin expected [6]. Forward P/E of 11.30 is deeply attractive (score 1.0) [4]. Revenue growth YoY of 19% exceeds the 10% target (score 1.0), and 5-year revenue CAGR of approximately 14% driven by SUBLOCADE's growth trajectory exceeds the 10% target (score 1.0, 2x weight) [1][4]. Normalized profit margin of approximately 20% (Q1 run-rate ~28%, TTM depressed to ~10.5% by settlement charges) approaches the 20% target [1][4]. Key weakness: stockholders' deficit of approximately -$285M (negative equity due to DOJ settlement legacy, antitrust charges, and $400M buyback program) makes D/E scored at floor (0.0) and ROE excluded [4]. The company maintains net cash of $89M ($445M cash versus $356M debt) despite the negative equity accounting. PEG ratio unavailable and excluded.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Indivior possesses a genuinely noble cause — treating addiction during America's worst opioid crisis — but the organization's execution of that cause has been inconsistent. The $600M federal guilty plea, $86M multistate settlement, and now $385M antitrust settlement for suppressing Suboxone generic competition reveal repeated periods where the company prioritized market dominance over patient welfare [5][6]. The successful pivot to SUBLOCADE represents genuine improvement in patient care, but the organizational culture (Glassdoor 3.4/5, 44% recommendation) and complete pipeline failure in 2026 suggest the internal capability does not yet match the external mission.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Treating addiction and mental illness is one of the most genuinely purposeful missions in the pharmaceutical industry — addressing a public health crisis that kills over 100,000 Americans annually [3]. SUBLOCADE's superior clinical outcomes represent the mission being executed through innovation, with over 500,000 patients prescribed and record 32,816 new patient starts in Q2 2026 [1][6]. However, the $600M federal guilty plea for Suboxone marketing practices, $86M multistate settlement, and now $385M antitrust settlement for suppressing generic competition demonstrate repeated organizational behavior contradicting the stated purpose of expanding access to addiction treatment [5][6].</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reveals a polarized culture with a 3.4/5 overall rating, only 44% recommendation rate, and career opportunities rated 2.9/5 [4]. Reviews describe both 'very good culture' and 'horrible company culture, toxic management,' suggesting trust varies dramatically by team. The CEO transition in May 2025 introducing external leadership adds organizational uncertainty. The repeated pattern of legal settlements ($600M DOJ, $86M multistate, $385M antitrust) suggests governance practices that undermine the trust environment Sinek considers foundational.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using competitive dynamics for self-improvement. The $385M antitrust settlement for suppressing Suboxone generic competition specifically demonstrates a finite competitive mindset — actively working to prevent rival products rather than improving its own offerings [6]. Indivior competes with Braeburn (Brixadi), Alkermes (Vivitrol), and generic buprenorphine, but the anticompetitive history suggests a 'win-at-all-costs' posture.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Indivior executed a meaningful strategic pivot from Suboxone film (daily dosing, oral/sublingual formulation facing generic erosion) to SUBLOCADE (monthly injection, extended-release depot technology), fundamentally shifting the revenue mix toward higher-growth, patent-protected branded specialty products [2]. SUBLOCADE grew from negligible revenue at launch to a $950-990M 2026 guidance range, now comprising approximately 75% of company revenue [6]. The redomiciliation from UK to U.S. in October 2024 further repositioned the company. These are significant strategic shifts within the addiction treatment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Indivior invested heavily in SUBLOCADE commercialization during a period of acute financial stress from the DOJ settlement and Suboxone generic competition — effectively betting the company's future on a novel formulation when the outcome was uncertain [2][5]. The $400M share buyback program and raised 2026 guidance signal management confidence [1][6]. However, both pipeline investments (INDV-6001, INDV-2000) failed in early 2026 and were abandoned rather than doubling down, and the company is now 'exploring external opportunities' rather than making courageous internal R&amp;D bets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Indivior is executing a powerful SUBLOCADE growth story with accelerating momentum: Q1 2026 delivered $232M SUBLOCADE revenue (up 32% YoY) with record patient starts, and Q2 2026 posted 21% SUBLOCADE growth with record 32,816 new patient starts, prompting a second guidance raise to $1.215-1.285B total revenue and $950-990M SUBLOCADE revenue with 51% adjusted EBITDA margins (~$640M, up 50% YoY) [1][6]. Forward P/E of 11.30 is compelling against 19-32% revenue growth rates, and the opioid epidemic provides a tragically large and growing addressable market. The company has net cash of $89M ($445M cash vs $356M debt) despite the negative equity accounting artifact, and the active $400M buyback program supports capital returns [1][4].</w:t>
      </w:r>
    </w:p>
    <w:p>
      <w:pPr>
        <w:spacing w:after="120"/>
      </w:pPr>
      <w:r>
        <w:rPr>
          <w:rFonts w:ascii="Calibri" w:hAnsi="Calibri"/>
          <w:b w:val="0"/>
          <w:color w:val="3A4A28"/>
          <w:sz w:val="20"/>
        </w:rPr>
        <w:t>The critical risks are concentrated in three areas. First, SUBLOCADE revenue concentration — a single product driving approximately 75% of total revenue creates binary risk if clinical safety signals emerge, reimbursement policies change, or Braeburn's Brixadi competitive entry accelerates [1][2]. Second, the complete pipeline failure in early 2026 (INDV-6001 discontinued, INDV-2000 Phase 2 miss) leaves Indivior without visible next-generation products, making the company wholly dependent on SUBLOCADE volume growth [1]. Third, escalating legal exposure: beyond the $600M DOJ guilty plea and $86M multistate settlement, the new $385M antitrust settlement for suppressing Suboxone generic competition adds another $228M charge and reinforces a pattern of governance failures [5][6]. The negative stockholders' equity of approximately -$285M, polarized employee culture (Glassdoor 3.4/5, 44% recommendation), and CEO transition create compounding governance and execution risks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SUBLOCADE revenue trajectory toward the raised $950-990M 2026 guidance with continued 20-30% growth driven by record new patient starts (32,816 in Q2 2026), expanded payer coverage, and growing criminal justice system adoption [1][6]</w:t>
      </w:r>
    </w:p>
    <w:p>
      <w:pPr>
        <w:spacing w:before="40" w:after="40"/>
        <w:ind w:left="283"/>
      </w:pPr>
      <w:r>
        <w:rPr>
          <w:rFonts w:ascii="Calibri" w:hAnsi="Calibri"/>
          <w:b/>
          <w:color w:val="4A6B25"/>
          <w:sz w:val="20"/>
        </w:rPr>
        <w:t xml:space="preserve">2. </w:t>
      </w:r>
      <w:r>
        <w:rPr>
          <w:rFonts w:ascii="Calibri" w:hAnsi="Calibri"/>
          <w:b w:val="0"/>
          <w:color w:val="3A4A28"/>
          <w:sz w:val="20"/>
        </w:rPr>
        <w:t>Adjusted EBITDA margin expansion toward 51% ($640M midpoint) as SUBLOCADE's growing revenue share improves the profitability mix, with Q1 2026 already demonstrating 52% margin — up 16 percentage points versus 2025 [1][6]</w:t>
      </w:r>
    </w:p>
    <w:p>
      <w:pPr>
        <w:spacing w:before="40" w:after="40"/>
        <w:ind w:left="283"/>
      </w:pPr>
      <w:r>
        <w:rPr>
          <w:rFonts w:ascii="Calibri" w:hAnsi="Calibri"/>
          <w:b/>
          <w:color w:val="4A6B25"/>
          <w:sz w:val="20"/>
        </w:rPr>
        <w:t xml:space="preserve">3. </w:t>
      </w:r>
      <w:r>
        <w:rPr>
          <w:rFonts w:ascii="Calibri" w:hAnsi="Calibri"/>
          <w:b w:val="0"/>
          <w:color w:val="3A4A28"/>
          <w:sz w:val="20"/>
        </w:rPr>
        <w:t>Strategic M&amp;A or licensing of external pipeline assets to diversify beyond SUBLOCADE, leveraging Indivior's addiction medicine expertise, 838-person commercial infrastructure, and strong free cash flow generation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concentration: SUBLOCADE generates approximately 75% of revenue, creating vulnerability to competitive entry from Braeburn's Brixadi, adverse safety signals, or Medicare/Medicaid reimbursement policy changes [1][2]</w:t>
      </w:r>
    </w:p>
    <w:p>
      <w:pPr>
        <w:spacing w:before="40" w:after="40"/>
        <w:ind w:left="283"/>
      </w:pPr>
      <w:r>
        <w:rPr>
          <w:rFonts w:ascii="Calibri" w:hAnsi="Calibri"/>
          <w:b/>
          <w:color w:val="4A6B25"/>
          <w:sz w:val="20"/>
        </w:rPr>
        <w:t xml:space="preserve">2. </w:t>
      </w:r>
      <w:r>
        <w:rPr>
          <w:rFonts w:ascii="Calibri" w:hAnsi="Calibri"/>
          <w:b w:val="0"/>
          <w:color w:val="3A4A28"/>
          <w:sz w:val="20"/>
        </w:rPr>
        <w:t>Complete pipeline failure in early 2026 (INDV-6001 discontinued, INDV-2000 Phase 2 miss) leaves Indivior without next-generation products and wholly dependent on SUBLOCADE volume growth, with the company now exploring external opportunities [1]</w:t>
      </w:r>
    </w:p>
    <w:p>
      <w:pPr>
        <w:spacing w:before="40" w:after="40"/>
        <w:ind w:left="283"/>
      </w:pPr>
      <w:r>
        <w:rPr>
          <w:rFonts w:ascii="Calibri" w:hAnsi="Calibri"/>
          <w:b/>
          <w:color w:val="4A6B25"/>
          <w:sz w:val="20"/>
        </w:rPr>
        <w:t xml:space="preserve">3. </w:t>
      </w:r>
      <w:r>
        <w:rPr>
          <w:rFonts w:ascii="Calibri" w:hAnsi="Calibri"/>
          <w:b w:val="0"/>
          <w:color w:val="3A4A28"/>
          <w:sz w:val="20"/>
        </w:rPr>
        <w:t>Escalating legal pattern: $600M DOJ guilty plea (2020), $86M multistate settlement (2024), and $385M antitrust settlement (2026) for suppressing generic competition — combined with negative stockholders' equity, polarized culture, and 400+ remaining civil lawsuits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Indivior's core business — developing, manufacturing, and distributing injectable pharmaceutical products for addiction treatment — is structurally immune to AI disruption [3]. SUBLOCADE is a physical, FDA-approved medication requiring complex manufacturing (extended-release injectable depot technology), cold-chain distribution, REMS program compliance, and in-person administration by healthcare professionals. The FDA regulatory moat — years of clinical trials, proprietary formulation data, and post-market surveillance requirements — creates barriers that AI cannot circumvent. The opioid epidemic demands real pharmacological intervention that no AI tool can provide. AI Opportunity (0/1): Indivior does not generate revenue from AI-related products or services. AI may eventually assist in drug discovery or patient identification, but this is not currently a revenue contributor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18</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Indivior Q1 2026 Earnings Release — $317M Revenue (+19% YoY), $232M SUBLOCADE (+32%), Record Adj EBITDA $164M (52% margin), Raised Full-Year 2026 Guidance — indivior.com, April 2026</w:t>
      </w:r>
    </w:p>
    <w:p>
      <w:pPr>
        <w:spacing w:before="20" w:after="20"/>
        <w:ind w:left="170"/>
      </w:pPr>
      <w:r>
        <w:rPr>
          <w:rFonts w:ascii="Calibri" w:hAnsi="Calibri"/>
          <w:b/>
          <w:color w:val="4A6B25"/>
          <w:sz w:val="15"/>
        </w:rPr>
        <w:t xml:space="preserve">2. </w:t>
      </w:r>
      <w:r>
        <w:rPr>
          <w:rFonts w:ascii="Calibri" w:hAnsi="Calibri"/>
          <w:b w:val="0"/>
          <w:color w:val="3A4A28"/>
          <w:sz w:val="17"/>
        </w:rPr>
        <w:t>Indivior Q4 and Full-Year 2025 Earnings Release — $856M SUBLOCADE Revenue, $428M Adjusted EBITDA — indivior.com, February 2026</w:t>
      </w:r>
    </w:p>
    <w:p>
      <w:pPr>
        <w:spacing w:before="20" w:after="20"/>
        <w:ind w:left="170"/>
      </w:pPr>
      <w:r>
        <w:rPr>
          <w:rFonts w:ascii="Calibri" w:hAnsi="Calibri"/>
          <w:b/>
          <w:color w:val="4A6B25"/>
          <w:sz w:val="15"/>
        </w:rPr>
        <w:t xml:space="preserve">3. </w:t>
      </w:r>
      <w:r>
        <w:rPr>
          <w:rFonts w:ascii="Calibri" w:hAnsi="Calibri"/>
          <w:b w:val="0"/>
          <w:color w:val="3A4A28"/>
          <w:sz w:val="17"/>
        </w:rPr>
        <w:t>Indivior Corporate Website — Purpose, Leadership Team, Innovation in Addiction Medicine, New CEO Appointed May 2025 — indivior.com,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and Yahoo Finance — INDV Key Statistics: Forward P/E 11.30x, PE 33.16x, Profit Margin ~10.5% (settlement-impacted), Stock Price ~$33, Glassdoor 3.4/5,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Indivior DOJ Resolution ($600M Federal Guilty Plea, 2020), Multistate Settlement ($86M, 2024), and DOJ Civil Settlement ($295M, 2025) — California AG, DOJ Press Releases</w:t>
      </w:r>
    </w:p>
    <w:p>
      <w:pPr>
        <w:spacing w:before="20" w:after="20"/>
        <w:ind w:left="170"/>
      </w:pPr>
      <w:r>
        <w:rPr>
          <w:rFonts w:ascii="Calibri" w:hAnsi="Calibri"/>
          <w:b/>
          <w:color w:val="4A6B25"/>
          <w:sz w:val="15"/>
        </w:rPr>
        <w:t xml:space="preserve">6. </w:t>
      </w:r>
      <w:r>
        <w:rPr>
          <w:rFonts w:ascii="Calibri" w:hAnsi="Calibri"/>
          <w:b w:val="0"/>
          <w:color w:val="3A4A28"/>
          <w:sz w:val="17"/>
        </w:rPr>
        <w:t>Indivior Q2 2026 Update — SUBLOCADE 21% Revenue Growth, Record 32,816 New Patient Starts, Second Guidance Raise, and $385M Antitrust Settlement for Suboxone Generic Suppression — 247WallSt, StockTitan,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