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ING</w:t>
      </w:r>
      <w:r>
        <w:rPr>
          <w:rFonts w:ascii="Calibri" w:hAnsi="Calibri"/>
          <w:b/>
          <w:color w:val="1A2010"/>
          <w:sz w:val="40"/>
        </w:rPr>
        <w:t xml:space="preserve">  ING Groep N.V.</w:t>
      </w:r>
    </w:p>
    <w:p>
      <w:pPr>
        <w:spacing w:after="120"/>
      </w:pPr>
      <w:r>
        <w:rPr>
          <w:rFonts w:ascii="Calibri" w:hAnsi="Calibri"/>
          <w:b/>
          <w:color w:val="6E8450"/>
          <w:sz w:val="18"/>
        </w:rPr>
        <w:t>DIVIDEND SLEEVE · 2026-09-05 · Inspire: 0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57</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Financial Services · Banks - Diversified · NYSE · Netherlands</w:t>
      </w:r>
    </w:p>
    <w:p>
      <w:pPr>
        <w:spacing w:after="80"/>
      </w:pPr>
      <w:r>
        <w:rPr>
          <w:rFonts w:ascii="Calibri" w:hAnsi="Calibri"/>
          <w:b w:val="0"/>
          <w:color w:val="3A4A28"/>
          <w:sz w:val="20"/>
        </w:rPr>
        <w:t>ING Groep N.V. is a global financial institution with a strong European base, offering retail banking, wholesale banking, and direct banking services. The bank serves approximately 40 million customers across more than 40 countries, with primary operations in the Netherlands, Belgium, Germany, Poland, and other European markets. A pioneer in digital and mobile-first banking, ING operates a primarily branchless direct banking model in many markets. Known for its sustainability leadership with an MSCI ESG AAA rating and its Terra framework guiding over EUR 600 billion in lending toward climate objectives. Founded in 1991 through the merger of Nationale-Nederlanden and NMB Postbank Group, headquartered in Amsterdam, Netherlands.</w:t>
      </w:r>
    </w:p>
    <w:p>
      <w:r>
        <w:rPr>
          <w:rFonts w:ascii="Calibri" w:hAnsi="Calibri"/>
          <w:b/>
          <w:color w:val="6E8450"/>
          <w:sz w:val="18"/>
        </w:rPr>
        <w:t>60,000 Employees · https://www.ing.com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ING was an early pioneer of digital-first banking in Europe, building a unified global technology stack that eliminated regional silos and earned industry awards in 2024-2025 [2]. The Think Forward strategy transformed ING from a traditional bank into a digital platform. However, these innovations occurred over the past decade rather than the last five years, and no single breakthrough product launch or business model transformation has occurred recently. The July 2026 strategic investment in Singular Bank (Spain) for private banking expansion represents incremental M&amp;A rather than innovation [2]. AI Deployment (1/2): ING deployed AI-driven personal financial management tools to over 15 million users, delivering real-time insights and automated savings recommendations that raised engagement [2]. The bank also uses AI models for credit risk scoring, fraud detection, and personalized nudges. In 2025, ING launched a generative AI customer service tool deployed simultaneously across markets using its standardized global platform [2]. These are meaningful deployments but represent efficiency gains rather than revenue-generating AI products. Market Share (1/2): ING is a leading retail bank in the Netherlands and Belgium, with strong positions in Germany, Poland, and other European markets. The bank serves 40 million customers, making it one of Europe's largest digital banking platforms. However, it is not the category leader in any single market and faces intense competition from domestic champions and neobanks [2]. Product Pipeline (1/2): Continued digital banking enhancement and private banking expansion (Singular Bank acquisition in Spain) provide some pipeline visibility [2]. ING's target of &gt;15% ROTE by 2027 implies continued operational improvement. However, no specific next-generation product launches with defined timelines have been announced. R&amp;D Intensity (1/1): While banks do not report R&amp;D spending in the traditional sense, ING's investment in its unified global technology platform, cloud migration, microservices architecture, and AI tools represents above-average technology investment for the European banking sector [2].</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ING's purpose is 'Empowering people to stay a step ahead in life and in business' [3]. The statement is clear and customer-focused, identifying both the audience (people and businesses) and the value proposition (staying ahead). However, it is not distinctive enough to differentiate ING from any other consumer-facing financial institution — dozens of banks could claim a similar purpose. It does not articulate a deeper cause beyond serving customers well. Community Impact (1/2): ING's sustainability credentials are genuinely strong — MSCI ESG rating upgraded from AA to AAA in October 2025, Sustainalytics ESG risk rating of 18.0 (low risk), and the Terra sustainable lending framework guiding over EUR 600 billion in loans toward climate objectives with a sustainable transitions portfolio exceeding EUR 100 billion [4]. These represent meaningful institutional commitments to environmental sustainability. However, no specific charitable foundation, community development programs, or dollar-amount philanthropic initiatives were identified beyond the commercial sustainability strategy. Employee Retention (1/2): CEO Steven van Rijswijk joined ING in 1995 and became CEO in 2020, representing 31 years of tenure, and the executive board has deep institutional experience suggesting a culture that develops and retains leadership talent [3]. However, no specific employee retention data, average tenure, or turnover metrics are publicly available for the broader 60,000-person workforce. Insider Buying (0/2): No evidence of meaningful net insider buying by executives was identified. ING's EUR 1 billion share buyback program [1] represents corporate capital return, not personal insider conviction per the IOWN framework.</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Q1 2026 delivered strong results with net profit of EUR 1.556 billion, total income up 3.3% to EUR 5.823 billion, and profit before tax of EUR 2.26 billion (up 6% YoY) [1]. Commercial net interest income reached EUR 4.060 billion (up 12%) and fee income rose 13% to EUR 1.236 billion, demonstrating revenue diversification beyond interest rates [1]. ROE of 16.57% exceeds the 15% target, reflecting efficient capital deployment for a major European bank. Forward P/E of 10.34 is well below the IOWN 20x target, representing an attractive valuation that reflects the persistent European banking discount. Profit margin of 34.23% is exceptional and reflects the operational leverage of ING's digital-first, low-branch-count model. CET1 ratio of 13.0% provides adequate capitalization; D/E is set to null as it is not applicable for banks whose balance sheets are structurally leveraged through deposits. Revenue growth of 2.9% YoY is modest but steady. Dividend yield of 3.89% with an estimated payout ratio of approximately 50% is sustainable. The primary infrastructure weakness is the short dividend track record — only 5 consecutive years of payment since resuming post-COVID/ECB suspension in 2021, with approximately 4 consecutive years of dividend growth [1]. The 2026 commercial NII guidance was raised to EUR 16.5-16.7 billion, signaling management confidence [1]. Mechanical calculation on 7 available dividend-sleeve metrics (ROE 1x, Rev Growth YoY 1x, Forward PE 1x, PM 1x, Payout Ratio 1x, Consec Years Paid 2x, Consec Years Growth 1x): weighted sum 6.00 / max 8.0 = 7.5, rounded to 7.</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6</w:t>
      </w:r>
      <w:r>
        <w:rPr>
          <w:rFonts w:ascii="Calibri" w:hAnsi="Calibri"/>
          <w:b w:val="0"/>
          <w:color w:val="9DAF88"/>
          <w:sz w:val="18"/>
        </w:rPr>
        <w:t xml:space="preserve"> /10</w:t>
      </w:r>
    </w:p>
    <w:p>
      <w:pPr>
        <w:spacing w:after="120"/>
      </w:pPr>
      <w:r>
        <w:rPr>
          <w:rFonts w:ascii="Calibri" w:hAnsi="Calibri"/>
          <w:b w:val="0"/>
          <w:color w:val="3A4A28"/>
          <w:sz w:val="18"/>
        </w:rPr>
        <w:t>ING displays a mixed infinite game posture. The bank has demonstrated genuine strategic courage — pioneering digital-first banking in Europe, divesting the entire insurance business to focus on banking, and making bold sustainability commitments through Terra. CEO Steven van Rijswijk's 31-year tenure at ING suggests deep institutional commitment. However, the bank's purpose ('empowering people to stay a step ahead') is generic, and the typical pressures of quarterly earnings, regulatory compliance, and shareholder return optimization create finite game tensions that constrain truly infinite thinking.</w:t>
      </w:r>
    </w:p>
    <w:p>
      <w:pPr>
        <w:spacing w:before="200" w:after="40"/>
      </w:pPr>
      <w:r>
        <w:rPr>
          <w:rFonts w:ascii="Calibri" w:hAnsi="Calibri"/>
          <w:b/>
          <w:color w:val="1A2010"/>
          <w:sz w:val="22"/>
        </w:rPr>
        <w:t>Just Cause</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ING's stated purpose of 'Empowering people to stay a step ahead in life and in business' is well-intentioned but generic [3]. While the bank's sustainability commitments (Terra framework, EUR 100B+ sustainable transitions portfolio, MSCI AAA rating) suggest institutional values beyond pure profit, the core purpose does not differentiate ING from dozens of other consumer banks making similar claims. Strategic decisions can be traced to customer empowerment (mobile-first banking, low-fee products), but the purpose has not been tested by the kind of difficult trade-offs that reveal whether a Just Cause is genuine (e.g., accepting lower returns to serve underbanked populations). The COVID-era dividend suspension, while prudent, was ECB-mandated rather than a voluntary principled choice.</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CEO Steven van Rijswijk has been at ING since 1995 (31 years), rising through risk management and international banking roles before becoming CEO in 2020 [3]. This internal promotion and long tenure suggests a culture that develops talent from within. The executive board has deep institutional experience. ING's emphasis on culture as a CEO responsibility and its unified global technology platform suggest organizational cohesion. However, no specific data on employee engagement scores, voluntary turnover, psychological safety, or team trust metrics is publicly available for this screening cycle. At 60,000 employees across 40+ countries, trust dynamics inevitably vary significantly by geography and business line.</w:t>
      </w:r>
    </w:p>
    <w:p>
      <w:pPr>
        <w:spacing w:before="200" w:after="40"/>
      </w:pPr>
      <w:r>
        <w:rPr>
          <w:rFonts w:ascii="Calibri" w:hAnsi="Calibri"/>
          <w:b/>
          <w:color w:val="1A2010"/>
          <w:sz w:val="22"/>
        </w:rPr>
        <w:t>Worthy Rivals</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ING competes with a diverse set of rivals — traditional banks (ABN AMRO, Rabobank, Deutsche Bank), US megabanks (JPMorgan, Goldman Sachs in wholesale), and neobanks (Revolut, N26) — and appears to use competitive pressure constructively. ING's response to neobank competition has been to deepen its own digital capabilities and invest in AI-enhanced customer tools rather than dismissing the threat [2]. The decision to invest in private banking (Singular Bank acquisition) suggests ING is learning from rivals who generate higher fee income. However, no specific evidence of leadership publicly acknowledging or explicitly learning from specific competitors was found in this screening cycle.</w:t>
      </w:r>
    </w:p>
    <w:p>
      <w:pPr>
        <w:spacing w:before="200" w:after="40"/>
      </w:pPr>
      <w:r>
        <w:rPr>
          <w:rFonts w:ascii="Calibri" w:hAnsi="Calibri"/>
          <w:b/>
          <w:color w:val="1A2010"/>
          <w:sz w:val="22"/>
        </w:rPr>
        <w:t>Existential Flexibility</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(2/2): ING demonstrated significant existential flexibility by divesting its entire insurance business (creating NN Group as a separate entity) to focus exclusively on banking [2]. This was a transformative strategic decision that fundamentally reshaped the company, shedding a profitable business line to create a more focused, digital-first banking platform. The Think Forward strategy that followed represented a genuine reinvention — moving from a traditional branch-based European bank to a mobile-first, technology-driven platform. More recently, the shift toward private banking through the Singular Bank acquisition shows continued willingness to evolve the business model. These pivots demonstrate the ability to abandon what works in favor of what serves the long-term strategy.</w:t>
      </w:r>
    </w:p>
    <w:p>
      <w:pPr>
        <w:spacing w:before="200" w:after="40"/>
      </w:pPr>
      <w:r>
        <w:rPr>
          <w:rFonts w:ascii="Calibri" w:hAnsi="Calibri"/>
          <w:b/>
          <w:color w:val="1A2010"/>
          <w:sz w:val="22"/>
        </w:rPr>
        <w:t>Courage To Lead</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(2/2): ING has made several courageous strategic decisions. The Think Forward strategy — announced when ING was a profitable traditional bank — required eliminating thousands of branch jobs across Europe and betting the company's future on digital banking before mobile-first was proven in European markets [2]. The sustainability commitments through Terra, including aligning EUR 600 billion in lending with climate objectives, involved real business constraints (declining to finance certain fossil fuel projects) that cost near-term revenue. The MSCI ESG upgrade from AA to AAA in October 2025 validates that these commitments are substantive rather than performative [4]. The aggressive share buyback programs (EUR 1 billion in Q1 2026 alone) demonstrate conviction in the company's value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ING Groep delivered strong Q1 2026 results with net profit of EUR 1.556 billion, total income up 3.3% to EUR 5.823 billion, and profit before tax of EUR 2.26 billion (up 6% YoY), driven by commercial net interest income growth of 12% to EUR 4.060 billion and fee income growth of 13% to EUR 1.236 billion [1]. The bank raised its 2026 commercial NII guidance to EUR 16.5-16.7 billion, signaling management confidence in the interest rate and lending environment. With a CET1 ratio of 13.0% and ROTE of 13.6%, ING announced a EUR 1 billion share buyback complementing the 3.89% dividend yield for an attractive total capital return profile. Forward P/E of 10.34 represents a significant discount to US bank peers and reflects the persistent European banking discount that may narrow as ING delivers on its &gt;14% ROTE target for 2026 and &gt;15% for 2027 [1].</w:t>
      </w:r>
    </w:p>
    <w:p>
      <w:pPr>
        <w:spacing w:after="120"/>
      </w:pPr>
      <w:r>
        <w:rPr>
          <w:rFonts w:ascii="Calibri" w:hAnsi="Calibri"/>
          <w:b w:val="0"/>
          <w:color w:val="3A4A28"/>
          <w:sz w:val="20"/>
        </w:rPr>
        <w:t>While ING's financial metrics are solid, the bank faces structural challenges common to European financial institutions. Revenue growth of 2.9% is modest, and the interest rate cycle that has boosted commercial NII could reverse if the ECB cuts rates more aggressively than expected, compressing the primary earnings driver. The bank's MSCI ESG upgrade to AAA in October 2025 and its Terra sustainable lending framework (EUR 100B+ portfolio) position it well for the sustainability transition, but European banking regulatory burdens (Basel III/IV, MREL, DORA) remain heavier than in other regions [4][2]. ING's digital-first strategy has produced genuine operational efficiencies — unified global technology stack, AI-driven personal financial management for 15 million+ users, and generative AI customer service — but neobanks like Revolut and N26 continue to challenge incumbent digital offerings, particularly among younger demographics [2]. The short dividend track record (5 consecutive years since post-COVID resumption) and lack of a 5-year dividend growth CAGR weigh on the Infrastructure score. ING's valuation is undemanding but the European banking sector discount reflects structural realities — lower growth, heavier regulation, and persistent geopolitical risk — that may not resolve quickly.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Raised 2026 commercial NII guidance to EUR 16.5-16.7 billion combined with EUR 1 billion share buyback program and 3.89% dividend yield providing total capital returns exceeding 8% annually at current valuation</w:t>
      </w:r>
    </w:p>
    <w:p>
      <w:pPr>
        <w:spacing w:before="40" w:after="40"/>
        <w:ind w:left="283"/>
      </w:pPr>
      <w:r>
        <w:rPr>
          <w:rFonts w:ascii="Calibri" w:hAnsi="Calibri"/>
          <w:b/>
          <w:color w:val="4A6B25"/>
          <w:sz w:val="20"/>
        </w:rPr>
        <w:t xml:space="preserve">2. </w:t>
      </w:r>
      <w:r>
        <w:rPr>
          <w:rFonts w:ascii="Calibri" w:hAnsi="Calibri"/>
          <w:b w:val="0"/>
          <w:color w:val="3A4A28"/>
          <w:sz w:val="20"/>
        </w:rPr>
        <w:t>ROTE trajectory from 13.6% in Q1 2026 toward &gt;14% full-year 2026 target and &gt;15% in 2027, driven by fee income diversification (up 13% YoY) and continued operational efficiency gains from the unified technology platform</w:t>
      </w:r>
    </w:p>
    <w:p>
      <w:pPr>
        <w:spacing w:before="40" w:after="40"/>
        <w:ind w:left="283"/>
      </w:pPr>
      <w:r>
        <w:rPr>
          <w:rFonts w:ascii="Calibri" w:hAnsi="Calibri"/>
          <w:b/>
          <w:color w:val="4A6B25"/>
          <w:sz w:val="20"/>
        </w:rPr>
        <w:t xml:space="preserve">3. </w:t>
      </w:r>
      <w:r>
        <w:rPr>
          <w:rFonts w:ascii="Calibri" w:hAnsi="Calibri"/>
          <w:b w:val="0"/>
          <w:color w:val="3A4A28"/>
          <w:sz w:val="20"/>
        </w:rPr>
        <w:t>Private banking expansion through the strategic investment in Singular Bank (Spain) announced July 2026, diversifying revenue toward higher-margin wealth management and reducing dependence on interest-rate-sensitive commercial banking income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ECB rate cut cycle could compress net interest margins and reverse the commercial NII growth that drives ING's earnings, with EUR 16.5-16.7 billion 2026 guidance predicated on current rate assumptions that may prove optimistic</w:t>
      </w:r>
    </w:p>
    <w:p>
      <w:pPr>
        <w:spacing w:before="40" w:after="40"/>
        <w:ind w:left="283"/>
      </w:pPr>
      <w:r>
        <w:rPr>
          <w:rFonts w:ascii="Calibri" w:hAnsi="Calibri"/>
          <w:b/>
          <w:color w:val="4A6B25"/>
          <w:sz w:val="20"/>
        </w:rPr>
        <w:t xml:space="preserve">2. </w:t>
      </w:r>
      <w:r>
        <w:rPr>
          <w:rFonts w:ascii="Calibri" w:hAnsi="Calibri"/>
          <w:b w:val="0"/>
          <w:color w:val="3A4A28"/>
          <w:sz w:val="20"/>
        </w:rPr>
        <w:t>European banking regulatory environment including Basel III/IV capital requirements, MREL buffers, and Digital Operational Resilience Act (DORA) compliance increasing costs and constraining competitive flexibility versus less-regulated neobank and fintech competitors</w:t>
      </w:r>
    </w:p>
    <w:p>
      <w:pPr>
        <w:spacing w:before="40" w:after="40"/>
        <w:ind w:left="283"/>
      </w:pPr>
      <w:r>
        <w:rPr>
          <w:rFonts w:ascii="Calibri" w:hAnsi="Calibri"/>
          <w:b/>
          <w:color w:val="4A6B25"/>
          <w:sz w:val="20"/>
        </w:rPr>
        <w:t xml:space="preserve">3. </w:t>
      </w:r>
      <w:r>
        <w:rPr>
          <w:rFonts w:ascii="Calibri" w:hAnsi="Calibri"/>
          <w:b w:val="0"/>
          <w:color w:val="3A4A28"/>
          <w:sz w:val="20"/>
        </w:rPr>
        <w:t>Neobank competition from Revolut (45+ million users), N26, and other digital challengers eroding retail banking market share particularly among younger demographics, where ING's first-mover digital advantage is diminishing as competitors close the technology gap</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(5/9): ING's core banking business benefits from significant regulatory moats — banking licenses, capital requirements (Basel III/IV), anti-money laundering compliance, and deposit insurance frameworks create barriers that AI alone cannot overcome [2]. Physical-world trust in financial institutions, brand reputation built over decades, and complex regulatory compliance requirements protect the core franchise. However, AI-powered neobanks (Revolut, N26, Bunq) are demonstrating that technology can substantially reduce the cost of delivering banking services, threatening ING's retail market share particularly among younger demographics. AI could automate significant portions of ING's back-office operations — credit analysis, customer service, compliance monitoring — reducing the workforce advantage of ING's 60,000 employees. The interest rate environment that currently drives profitability is macroeconomic, not technology-dependent, but AI-driven lending platforms could compete on pricing and speed. Wholesale banking faces less AI disruption due to relationship complexity. AI Opportunity (1/1): ING generates operational value from AI deployments — AI-driven personal financial management serves 15 million+ users, credit risk scoring models reduce losses, fraud detection prevents unauthorized transactions, and the 2025 generative AI customer service tool reduces operational costs across markets [2]. While these are efficiency tools rather than revenue products, they represent quantifiable AI-related value creation.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0</w:t>
      </w:r>
      <w:r>
        <w:rPr>
          <w:rFonts w:ascii="Calibri" w:hAnsi="Calibri"/>
          <w:b/>
          <w:color w:val="B8860B"/>
          <w:sz w:val="20"/>
        </w:rPr>
        <w:t xml:space="preserve">    MIXED</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ING Q1 2026 Earnings Release and Financial Results — The Globe and Mail / ING Investor Relations, May 2026</w:t>
      </w:r>
    </w:p>
    <w:p>
      <w:pPr>
        <w:spacing w:before="20" w:after="20"/>
        <w:ind w:left="170"/>
      </w:pPr>
      <w:r>
        <w:rPr>
          <w:rFonts w:ascii="Calibri" w:hAnsi="Calibri"/>
          <w:b/>
          <w:color w:val="4A6B25"/>
          <w:sz w:val="15"/>
        </w:rPr>
        <w:t xml:space="preserve">2. </w:t>
      </w:r>
      <w:r>
        <w:rPr>
          <w:rFonts w:ascii="Calibri" w:hAnsi="Calibri"/>
          <w:b w:val="0"/>
          <w:color w:val="3A4A28"/>
          <w:sz w:val="17"/>
        </w:rPr>
        <w:t>ING 2025 Annual Report and Digital Strategy Overview — ing.com, March 2026</w:t>
      </w:r>
    </w:p>
    <w:p>
      <w:pPr>
        <w:spacing w:before="20" w:after="20"/>
        <w:ind w:left="170"/>
      </w:pPr>
      <w:r>
        <w:rPr>
          <w:rFonts w:ascii="Calibri" w:hAnsi="Calibri"/>
          <w:b/>
          <w:color w:val="4A6B25"/>
          <w:sz w:val="15"/>
        </w:rPr>
        <w:t xml:space="preserve">3. </w:t>
      </w:r>
      <w:r>
        <w:rPr>
          <w:rFonts w:ascii="Calibri" w:hAnsi="Calibri"/>
          <w:b w:val="0"/>
          <w:color w:val="3A4A28"/>
          <w:sz w:val="17"/>
        </w:rPr>
        <w:t>ING CEO Steven van Rijswijk Profile, Leadership, and Strategy — ing.com / CEO India Magazine, accessed July 2026</w:t>
      </w:r>
    </w:p>
    <w:p>
      <w:pPr>
        <w:spacing w:before="20" w:after="20"/>
        <w:ind w:left="170"/>
      </w:pPr>
      <w:r>
        <w:rPr>
          <w:rFonts w:ascii="Calibri" w:hAnsi="Calibri"/>
          <w:b/>
          <w:color w:val="4A6B25"/>
          <w:sz w:val="15"/>
        </w:rPr>
        <w:t xml:space="preserve">4. </w:t>
      </w:r>
      <w:r>
        <w:rPr>
          <w:rFonts w:ascii="Calibri" w:hAnsi="Calibri"/>
          <w:b w:val="0"/>
          <w:color w:val="3A4A28"/>
          <w:sz w:val="17"/>
        </w:rPr>
        <w:t>MSCI ESG Rating Upgrade from AA to AAA — MSCI / Sustainalytics, October 2025</w:t>
      </w:r>
    </w:p>
    <w:p>
      <w:pPr>
        <w:spacing w:before="20" w:after="20"/>
        <w:ind w:left="170"/>
      </w:pPr>
      <w:r>
        <w:rPr>
          <w:rFonts w:ascii="Calibri" w:hAnsi="Calibri"/>
          <w:b/>
          <w:color w:val="4A6B25"/>
          <w:sz w:val="15"/>
        </w:rPr>
        <w:t xml:space="preserve">5. </w:t>
      </w:r>
      <w:r>
        <w:rPr>
          <w:rFonts w:ascii="Calibri" w:hAnsi="Calibri"/>
          <w:b w:val="0"/>
          <w:color w:val="3A4A28"/>
          <w:sz w:val="17"/>
        </w:rPr>
        <w:t>Yahoo Finance — ING Key Statistics and Financial Data, accessed July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