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INIO</w:t>
      </w:r>
      <w:r>
        <w:rPr>
          <w:rFonts w:ascii="Calibri" w:hAnsi="Calibri"/>
          <w:b/>
          <w:color w:val="1A2010"/>
          <w:sz w:val="40"/>
        </w:rPr>
        <w:t xml:space="preserve">  Innio N.V.</w:t>
      </w:r>
    </w:p>
    <w:p>
      <w:pPr>
        <w:spacing w:after="120"/>
      </w:pPr>
      <w:r>
        <w:rPr>
          <w:rFonts w:ascii="Calibri" w:hAnsi="Calibri"/>
          <w:b/>
          <w:color w:val="6E8450"/>
          <w:sz w:val="18"/>
        </w:rPr>
        <w:t>GROWTH SLEEVE · 2026-10-10 · Inspire: 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54</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Industrials · Specialty Industrial Machinery · NMS · Germany</w:t>
      </w:r>
    </w:p>
    <w:p>
      <w:pPr>
        <w:spacing w:after="80"/>
      </w:pPr>
      <w:r>
        <w:rPr>
          <w:rFonts w:ascii="Calibri" w:hAnsi="Calibri"/>
          <w:b w:val="0"/>
          <w:color w:val="3A4A28"/>
          <w:sz w:val="20"/>
        </w:rPr>
        <w:t>Innio N.V. provides power generation equipment and services under the Jenbacher and Waukesha brands, serving data center, distributed power, and compression end-markets globally. The company operates through Equipment and Services segments, with Equipment designing, manufacturing, and selling gas engines and related solutions, while Services provides aftermarket lifecycle support including overhauls, spare parts, and the Myplant AI-enabled fleet management platform. Innio IPO'd on NASDAQ in June 2026 at a ~$14.8B market cap and is headquartered in Munich, Germany.</w:t>
      </w:r>
    </w:p>
    <w:p>
      <w:r>
        <w:rPr>
          <w:rFonts w:ascii="Calibri" w:hAnsi="Calibri"/>
          <w:b/>
          <w:color w:val="6E8450"/>
          <w:sz w:val="18"/>
        </w:rPr>
        <w:t>5,467 Employees · https://www.innio.com/en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Innio has executed a significant market pivot from traditional industrial gas engine manufacturing to critical AI data center power infrastructure, with Q2 2026 equipment order intake surging 316% YoY to $2.3B and backlog reaching a record $6.6B [1]. The shift leverages existing Jenbacher and Waukesha platforms into a high-growth end-market, though the core product technology remains gas engine-based rather than a fundamentally new offering. AI Deployment (1/2): The Myplant platform provides AI-enabled fleet management and digital solutions across the engine lifecycle, but no specific revenue contribution or quantified cost savings from AI capabilities have been reported [1]. Market Share (1/2): Innio holds a meaningful position in gas engine distributed power with its Jenbacher brand and earned Sustainalytics' #1 ESG rating among 500+ machinery-sector companies, but specific market share percentages in the data center power segment are not publicly available [3]. Product Pipeline (1/2): The $6.6B record equipment backlog provides strong order visibility, and the company is expanding capacity for data center and microgrid solutions, but no next-generation products with named timelines have been announced beyond current gas engine platforms [1]. R&amp;D Intensity (0/1): No R&amp;D spending data available as a percentage of revenue for this recently public company.</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Innio's purpose centers on providing sustainable, decentralized energy solutions connecting its work to the energy transition, but the articulation is not distinctive among industrial energy companies and could apply to many peers in the distributed generation space [2]. Community Impact (1/2): The company joined the UN Global Compact in 2021 and achieved a Sustainalytics ESG risk rating of 11.0 (low risk), ranked #1 among 500+ machinery-sector companies assessed, signaling institutional sustainability commitment, though no specific charitable programs or dollar amounts have been cited [3]. Employee Retention (0/2): Glassdoor reviews are mixed — positive mentions of interesting work and team spirit are offset by complaints about slow decision-making, stressful workloads, and unclear career progression under upper management [2]. No specific retention or tenure metrics available. Insider Buying (0/2): As a June 2026 IPO with approximately 85% held by private equity sponsors Advent International and ADIA, no meaningful insider buying data is available and the concentrated ownership structure limits informational value of insider transaction analysis.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on available metrics (ROE, 5-year revenue CAGR, and PEG excluded as unavailable for this recent IPO). Revenue growth is exceptional at 42.2% YoY driven by data center power demand, earning a perfect metric score (1.0) [1]. Forward P/E of 24.93 is reasonable for a high-growth industrial, scoring 0.88. However, the balance sheet carries extreme leverage at D/E of 1,347%, a legacy of PE ownership prior to the June 2026 IPO, scoring 0.0 on that metric [1][4]. Profit margin is razor-thin at 0.8% due to $81.2M in one-time IPO costs that drove a Q2 net loss of $16.9M, scoring just 0.04 [1]. Weighted sum of 1.92 on max of 4.0 yields a score of 5. Daily dollar volume of $94.3M provides strong liquidity.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Innio shows early directional alignment with energy transition themes but lacks the multi-decade track record Sinek requires to validate a Just Cause. Carved out from GE in 2018 and IPO'd just four months ago (June 2026), the company has not been tested through market cycles, leadership transitions, or crises as an independent entity. The strategic pivot to data center power is commercially astute but opportunistic rather than cause-driven, and mixed Glassdoor reviews alongside concentrated PE ownership create uncertainty about organizational culture.</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Innio articulates a purpose around sustainable, decentralized energy, but this has not been validated through extended execution or crisis. The company was carved out from GE in 2018 and IPO'd in June 2026 — too short a track record to demonstrate that purpose shapes strategic decisions across market cycles [1][2]. The current explosive growth is driven by AI data center demand (a commercial opportunity) rather than an enduring vision that preceded and guided the company into that market.</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The organization is stable with 5,467 employees and CEO Olaf Berlien has provided continuity since October 2021 after a successful six-year tenure leading Osram [2]. No evidence of major cultural dysfunction, layoffs, or organizational instability was found. However, Glassdoor reviews cite slow decision-making, stressful workloads, and dissatisfaction with career progression under upper management, and the transition from PE ownership to public markets introduces organizational change [2].</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an infinite competitive mindset. Innio's communications emphasize record orders, 316% intake growth, and market capture in data center power rather than referencing competitors like Caterpillar, Wartsila, or MAN Energy Solutions as sources of inspiration for self-improvement [1]. The competitive language is oriented toward winning market share rather than learning from rivals' strengths.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Innio successfully reoriented from traditional industrial and compression gas engines toward the data center and AI infrastructure power market, a meaningful strategic shift that capitalized on the structural gap between grid capacity and AI compute power demand [1]. However, this evolution is incremental — the core product (gas engines) and manufacturing processes remain unchanged; only the customer mix and marketing positioning have shifted. A transformative pivot would involve fundamentally new technology or business model.</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Pursuing a public offering in June 2026 while carrying extreme leverage (D/E 1,347%) required organizational restructuring and acceptance of $81.2M in IPO costs, demonstrating willingness to invest in long-term strategic independence [1][4]. However, the IPO was also a PE exit mechanism, and no evidence exists of leadership sacrificing profitable near-term opportunities for long-term capability building in the Sinek sense — the company is pursuing its most lucrative growth opportunity.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Innio at $19.79 with a $14.8B market cap is a direct AI infrastructure beneficiary providing critical distributed power generation through its Jenbacher and Waukesha gas engine brands. Q2 2026 revenue surged 42% YoY to $937.7M, equipment order intake exploded 316% to $2.3B with a record $6.6B backlog, and FY2026 guidance targets $3.8-3.9B revenue (46-50% growth) with adjusted EBITDA of $720-740M [1]. Services revenue growing 21% to $368.4M provides high-margin recurring income tied to the expanding installed base. The structural bottleneck — grid-connected power cannot scale fast enough for AI data center demand — creates a durable secular tailwind for distributed generation, and the multi-year phased delivery schedule embedded in the $6.6B backlog provides exceptional revenue visibility.</w:t>
      </w:r>
    </w:p>
    <w:p>
      <w:pPr>
        <w:spacing w:after="120"/>
      </w:pPr>
      <w:r>
        <w:rPr>
          <w:rFonts w:ascii="Calibri" w:hAnsi="Calibri"/>
          <w:b w:val="0"/>
          <w:color w:val="3A4A28"/>
          <w:sz w:val="20"/>
        </w:rPr>
        <w:t>The bear case centers on extreme leverage and margin fragility. D/E of 1,347% reflects a PE-leveraged balance sheet that constrains financial flexibility and requires significant debt paydown before investment-grade status, leaving the company vulnerable to any demand softness or interest rate increase [1][4]. Net profit margin of just 0.8% in Q2 (net loss of $16.9M including $81.2M IPO costs) must normalize substantially for the 24.9x forward P/E to be justified — forward EPS of $0.79 implies rapid margin expansion carrying execution risk. Concentrated ownership by Advent International and ADIA (~85%) creates secondary offering overhang risk as sponsors seek exits over the coming 12-18 months. Natural gas engine demand faces potential regulatory headwinds from carbon emission mandates favoring battery storage and renewables over fossil-fuel-based distributed generation, and the company's four-month public track record provides no evidence of capital allocation discipline through a downturn.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AI data center power demand creating a structural multi-year tailwind — grid capacity cannot scale fast enough for AI workloads, with equipment order intake surging 316% YoY to $2.3B in Q2 2026 and record $6.6B backlog providing visibility well into 2028+ [1]</w:t>
      </w:r>
    </w:p>
    <w:p>
      <w:pPr>
        <w:spacing w:before="40" w:after="40"/>
        <w:ind w:left="283"/>
      </w:pPr>
      <w:r>
        <w:rPr>
          <w:rFonts w:ascii="Calibri" w:hAnsi="Calibri"/>
          <w:b/>
          <w:color w:val="4A6B25"/>
          <w:sz w:val="20"/>
        </w:rPr>
        <w:t xml:space="preserve">2. </w:t>
      </w:r>
      <w:r>
        <w:rPr>
          <w:rFonts w:ascii="Calibri" w:hAnsi="Calibri"/>
          <w:b w:val="0"/>
          <w:color w:val="3A4A28"/>
          <w:sz w:val="20"/>
        </w:rPr>
        <w:t>Margin normalization post-IPO as one-time costs ($81.2M in Q2) roll off and operating leverage from 46-50% revenue growth drives adjusted EBITDA expansion from $549M in FY2025 toward $720-740M guidance in FY2026 [1]</w:t>
      </w:r>
    </w:p>
    <w:p>
      <w:pPr>
        <w:spacing w:before="40" w:after="40"/>
        <w:ind w:left="283"/>
      </w:pPr>
      <w:r>
        <w:rPr>
          <w:rFonts w:ascii="Calibri" w:hAnsi="Calibri"/>
          <w:b/>
          <w:color w:val="4A6B25"/>
          <w:sz w:val="20"/>
        </w:rPr>
        <w:t xml:space="preserve">3. </w:t>
      </w:r>
      <w:r>
        <w:rPr>
          <w:rFonts w:ascii="Calibri" w:hAnsi="Calibri"/>
          <w:b w:val="0"/>
          <w:color w:val="3A4A28"/>
          <w:sz w:val="20"/>
        </w:rPr>
        <w:t>Services segment compounding at 21% YoY growth ($368.4M in Q2) provides high-margin recurring revenue from the expanding installed base of Jenbacher and Waukesha engines, with each equipment sale creating decades of aftermarket service opportunity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Extreme leverage at D/E 1,347% leaves minimal financial flexibility — any demand deceleration, supply chain disruption, or interest rate increase could strain debt servicing in a business with sub-1% net margins, and deleveraging will consume cash flow needed for capacity expansion [1][4]</w:t>
      </w:r>
    </w:p>
    <w:p>
      <w:pPr>
        <w:spacing w:before="40" w:after="40"/>
        <w:ind w:left="283"/>
      </w:pPr>
      <w:r>
        <w:rPr>
          <w:rFonts w:ascii="Calibri" w:hAnsi="Calibri"/>
          <w:b/>
          <w:color w:val="4A6B25"/>
          <w:sz w:val="20"/>
        </w:rPr>
        <w:t xml:space="preserve">2. </w:t>
      </w:r>
      <w:r>
        <w:rPr>
          <w:rFonts w:ascii="Calibri" w:hAnsi="Calibri"/>
          <w:b w:val="0"/>
          <w:color w:val="3A4A28"/>
          <w:sz w:val="20"/>
        </w:rPr>
        <w:t>Concentrated PE ownership (~85% by Advent/ADIA) creates significant secondary offering overhang risk — sponsor block trades could depress the stock during the critical first 12-18 months of public trading when institutional ownership is being established [4]</w:t>
      </w:r>
    </w:p>
    <w:p>
      <w:pPr>
        <w:spacing w:before="40" w:after="40"/>
        <w:ind w:left="283"/>
      </w:pPr>
      <w:r>
        <w:rPr>
          <w:rFonts w:ascii="Calibri" w:hAnsi="Calibri"/>
          <w:b/>
          <w:color w:val="4A6B25"/>
          <w:sz w:val="20"/>
        </w:rPr>
        <w:t xml:space="preserve">3. </w:t>
      </w:r>
      <w:r>
        <w:rPr>
          <w:rFonts w:ascii="Calibri" w:hAnsi="Calibri"/>
          <w:b w:val="0"/>
          <w:color w:val="3A4A28"/>
          <w:sz w:val="20"/>
        </w:rPr>
        <w:t>Regulatory risk from accelerating carbon emission mandates could favor battery storage and renewable alternatives over natural gas distributed generation, potentially shrinking the addressable market as data center operators face ESG pressure to adopt zero-carbon power solutions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Innio's core business — manufacturing and servicing multi-ton gas engines for distributed power generation — is structurally immune to AI displacement. AI cannot replace physical power infrastructure involving combustion engineering, fuel systems, and on-site installation [1]. Moreover, AI is the primary demand catalyst: data centers powering AI workloads require massive amounts of reliable electricity, and Innio's distributed gas engines provide backup and baseload power that utilities alone cannot deliver at the pace of AI infrastructure buildout. Q2 2026 equipment order intake surged 316% YoY to $2.3B, with the company explicitly attributing growth to AI infrastructure demand [1]. The only limiter preventing a perfect IMMUNE score is the possibility that alternative power technologies (small modular reactors, fuel cells, battery storage) could eventually compete for data center power. AI Opportunity (1/1): Innio generates direct and rapidly growing revenue from AI infrastructure through data center power equipment sales, representing a material portion of the record $6.6B equipment backlog, with data center orders as the fastest-growing end-market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Innio N.V. Q2 2026 Earnings Release — Revenue $937.7M (+42% YoY), Services $368.4M (+21%), Adjusted EBITDA $172.3M (+20%), Net Loss $(16.9)M, Record $6.6B Equipment Backlog, FY2026 Guidance $3.8-3.9B Revenue — SEC Form 8-K, Taiwan News, July 28, 2026</w:t>
      </w:r>
    </w:p>
    <w:p>
      <w:pPr>
        <w:spacing w:before="20" w:after="20"/>
        <w:ind w:left="170"/>
      </w:pPr>
      <w:r>
        <w:rPr>
          <w:rFonts w:ascii="Calibri" w:hAnsi="Calibri"/>
          <w:b/>
          <w:color w:val="4A6B25"/>
          <w:sz w:val="15"/>
        </w:rPr>
        <w:t xml:space="preserve">2. </w:t>
      </w:r>
      <w:r>
        <w:rPr>
          <w:rFonts w:ascii="Calibri" w:hAnsi="Calibri"/>
          <w:b w:val="0"/>
          <w:color w:val="3A4A28"/>
          <w:sz w:val="17"/>
        </w:rPr>
        <w:t>Innio Leadership and Culture — CEO Olaf Berlien (since October 2021, ex-Osram CEO for six years), Glassdoor employee reviews citing mixed satisfaction, AI-enabled Myplant fleet management platform — Glassdoor.at, IndustrieMagazin, CompressorTech2, KoalaGains, 2021-2026</w:t>
      </w:r>
    </w:p>
    <w:p>
      <w:pPr>
        <w:spacing w:before="20" w:after="20"/>
        <w:ind w:left="170"/>
      </w:pPr>
      <w:r>
        <w:rPr>
          <w:rFonts w:ascii="Calibri" w:hAnsi="Calibri"/>
          <w:b/>
          <w:color w:val="4A6B25"/>
          <w:sz w:val="15"/>
        </w:rPr>
        <w:t xml:space="preserve">3. </w:t>
      </w:r>
      <w:r>
        <w:rPr>
          <w:rFonts w:ascii="Calibri" w:hAnsi="Calibri"/>
          <w:b w:val="0"/>
          <w:color w:val="3A4A28"/>
          <w:sz w:val="17"/>
        </w:rPr>
        <w:t>Innio ESG Profile — Sustainalytics ESG Risk Rating 11.0 (Low Risk), ranked #1 among 500+ machinery-sector companies; UN Global Compact member since 2021 — BusinessWire, Sustainalytics, 2021-2022</w:t>
      </w:r>
    </w:p>
    <w:p>
      <w:pPr>
        <w:spacing w:before="20" w:after="20"/>
        <w:ind w:left="170"/>
      </w:pPr>
      <w:r>
        <w:rPr>
          <w:rFonts w:ascii="Calibri" w:hAnsi="Calibri"/>
          <w:b/>
          <w:color w:val="4A6B25"/>
          <w:sz w:val="15"/>
        </w:rPr>
        <w:t xml:space="preserve">4. </w:t>
      </w:r>
      <w:r>
        <w:rPr>
          <w:rFonts w:ascii="Calibri" w:hAnsi="Calibri"/>
          <w:b w:val="0"/>
          <w:color w:val="3A4A28"/>
          <w:sz w:val="17"/>
        </w:rPr>
        <w:t>Innio IPO and Financial Profile — June 2026 NASDAQ IPO, S-1/424B4 filings, PE ownership by Advent International and ADIA (~85%), D/E 1,347% — SEC.gov,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