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INN</w:t>
      </w:r>
      <w:r>
        <w:rPr>
          <w:rFonts w:ascii="Calibri" w:hAnsi="Calibri"/>
          <w:b/>
          <w:color w:val="1A2010"/>
          <w:sz w:val="40"/>
        </w:rPr>
        <w:t xml:space="preserve">  Summit Hotel Properties, Inc.</w:t>
      </w:r>
    </w:p>
    <w:p>
      <w:pPr>
        <w:spacing w:after="120"/>
      </w:pPr>
      <w:r>
        <w:rPr>
          <w:rFonts w:ascii="Calibri" w:hAnsi="Calibri"/>
          <w:b/>
          <w:color w:val="6E8450"/>
          <w:sz w:val="18"/>
        </w:rPr>
        <w:t>GROWTH SLEEVE · 2026-09-18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Hotel &amp; Motel · NYSE · United States</w:t>
      </w:r>
    </w:p>
    <w:p>
      <w:pPr>
        <w:spacing w:after="80"/>
      </w:pPr>
      <w:r>
        <w:rPr>
          <w:rFonts w:ascii="Calibri" w:hAnsi="Calibri"/>
          <w:b w:val="0"/>
          <w:color w:val="3A4A28"/>
          <w:sz w:val="20"/>
        </w:rPr>
        <w:t>Summit Hotel Properties is a publicly traded REIT investing in premium-branded, select-service hotels primarily in the upscale and upper-midscale segments. The portfolio includes approximately 100 hotels across the United States operating under Marriott, Hilton, IHG, and Hyatt brands. The company employs a third-party management model with a lean 78-person corporate team focused on acquisitions, dispositions, and asset management. Q2 2026 revenue of $199M beat estimates with pro forma RevPAR up 5% driven by 7.1% ADR growth. Market cap ~$608M, headquartered in Austin, Texas.</w:t>
      </w:r>
    </w:p>
    <w:p>
      <w:r>
        <w:rPr>
          <w:rFonts w:ascii="Calibri" w:hAnsi="Calibri"/>
          <w:b/>
          <w:color w:val="6E8450"/>
          <w:sz w:val="18"/>
        </w:rPr>
        <w:t>78 Employees · https://www.shpreit.com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Summit has strategically repositioned its portfolio toward premium-branded select-service hotels under Marriott, Hilton, IHG, and Hyatt flags, disposing of lower-quality assets — a modest but deliberate portfolio evolution over five years [1]. No transformative product launches or business model pivots. AI Deployment (0/2): No evidence of AI-powered products or AI-driven cost savings at the corporate level; hospitality AI adoption at the property level is managed entirely by third-party operators, not Summit's corporate team. Market Share (0/2): Summit operates approximately 100 hotels in a deeply fragmented market with hundreds of hotel REITs and operators, holding no category leadership or meaningful share differentiation relative to Apple Hospitality, Chatham Lodging, or Pebblebrook [1]. Product Pipeline (0/2): No next-generation products or transformative pipeline identified; growth is limited to portfolio repositioning through acquisitions and dispositions. R&amp;D Intensity (0/1): REITs do not invest in R&amp;D; property renovations are standard capital expenditures.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Summit Hotel Properties' stated purpose centers on 'creating long-term shareholder value through sustainable hotel operations, employee well-being, and community engagement' — a generic corporate objective indistinguishable from any hotel REIT [3]. The mission describes what the company does, not a vision of a better future. Community Impact (1/2): Summit published its 2025 Corporate Responsibility Report with charitable contributions approaching $1M and 1,400 volunteer hours supporting 55 organizations, plus green building initiatives and carbon footprint reduction programs [3]. Adequate but not distinctive relative to REIT peers. Employee Retention (0/2): With only 78 corporate employees in a REIT structure where hotel staff are employed by third-party management companies, meaningful retention data is unavailable. The CFO resignation requiring CEO Jon Stanner to assume dual roles suggests potential leadership instability [2].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Forward P/E and PEG excluded (negative/unavailable). Summit's GAAP financials are distorted by REIT depreciation: negative ROE of -0.82% and negative profit margin of -0.73% both score 0.0, though adjusted FFO guidance of $0.79-$0.85/share implies positive cash generation [1][4]. D/E of 112.42% scores 0.82 — moderate for a REIT but elevated against the 70% target. Revenue growth YoY of 3.2% scores 0.77, with Q2 2026 showing improvement at RevPAR +5% driven by 7.1% ADR growth [1]. Estimated 5-year revenue CAGR of ~3% reflects essentially flat revenue at ~$730M since 2022, with earlier COVID-era comparisons inflating any longer-term CAGR. Weighted sum: 2.66/7 available weight = Infrastructure 4. Liquidity floor cleared at ~$6.1M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Summit Hotel Properties operates as a financially-oriented REIT focused on portfolio optimization, FFO maximization, and dividend distribution without a compelling Just Cause or transformative vision beyond efficient hotel asset management. The company's strategic decisions — acquisitions, dispositions, capital allocation — are driven by cap rates and RevPAR projections rather than a larger purpose. The CFO departure requiring CEO dual-role assumption signals organizational stress. Sinek would identify this as a company playing the finite game of quarterly FFO targets.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Summit articulates a purpose around responsible hotel investment, employee wellbeing, and community engagement through its Corporate Responsibility Reports [3]. This is a step above pure shareholder value maximization, showing awareness of stakeholder responsibilities. However, the cause is shallow — interchangeable with any REIT peer and not referenced in strategic investment decisions. There is no vision of a future state that inspires beyond financial returns.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CFO resignation requiring CEO Jon Stanner to assume dual CEO/CFO responsibilities signals leadership instability and organizational strain at a critical juncture [2]. With only 78 corporate employees, any senior departure is proportionally significant. The third-party management model means Summit has limited influence over the trust environment at the property level where thousands of hotel employees actually work. No evidence of exceptional organizational culture or employee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Summit's management referencing competitors' strengths as motivation for self-improvement was identified. The competitive landscape of hotel REITs is discussed in terms of cap rates, RevPAR comparisons, and market positioning rather than learning from rivals like Apple Hospitality or Pebblebrook Hotel Trust.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Summit has adapted its portfolio strategy through multiple cycles — shifting from mid-scale to premium brands, disposing of non-core assets, and repositioning toward high-growth markets [1]. The company navigated the COVID-19 devastation of the hotel industry by preserving its portfolio through the worst downturn in hospitality history. However, the core REIT model has not fundamentally changed, and these adaptations are incremental portfolio management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Summit navigated COVID by maintaining its hotel portfolio, resuming dividends in 2022, and strategically repositioning assets toward premium brands during the recovery [1]. Management raised 2026 RevPAR guidance to 1.75-3.25% after Q2 RevPAR growth of 5%, showing confidence in the recovery trajectory. However, capital allocation decisions reflect standard REIT management rather than courageous long-term vision, and the dividend remains far below pre-COVID levels ($0.32/year vs. $0.72 in 2019).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Summit Hotel Properties offers deep value with a 5.67% dividend yield, P/FFO of approximately 7x on adjusted FFO guidance of $0.79-$0.85/share, and a portfolio of approximately 100 premium-branded select-service hotels under Marriott, Hilton, IHG, and Hyatt flags [1]. Q2 2026 adjusted earnings of $0.04/share beat estimates of -$0.05 with revenue of $199M above forecasts, and pro forma RevPAR grew 5% driven by 7.1% ADR improvement [1]. The stock trades at ~0.7x book value, implying the market prices the portfolio well below replacement cost. Management raised 2026 guidance with RevPAR growth of 1.75-3.25% and adjusted EBITDAre of $175-182M. The premium-branded select-service segment benefits from lower operating costs than full-service hotels while capturing demand through Marriott/Hilton loyalty programs. The Inspire Impact Score of 48 (ALIGNED) is favorable for faith-based investors [3].</w:t>
      </w:r>
    </w:p>
    <w:p>
      <w:pPr>
        <w:spacing w:after="120"/>
      </w:pPr>
      <w:r>
        <w:rPr>
          <w:rFonts w:ascii="Calibri" w:hAnsi="Calibri"/>
          <w:b w:val="0"/>
          <w:color w:val="3A4A28"/>
          <w:sz w:val="20"/>
        </w:rPr>
        <w:t>The bear case is substantial: Summit's stock has declined from $7.02 to $5.64 (-20%) since the prior screen, and GAAP metrics remain negative with ROE of -0.82% and profit margin of -0.73% [4]. Revenue has stagnated at approximately $730M since 2022, with the 3.2% YoY growth driven by rate increases rather than occupancy expansion. The $0.32 annual dividend is unsustainable on GAAP earnings (160% payout ratio) and depends entirely on FFO cash generation. The CFO resignation requiring CEO Stanner to assume dual roles raises governance concerns for a company managing a $2B+ enterprise value [2]. D/E of 112% is elevated and leaves limited margin of safety if a recession compresses hotel occupancy below breakeven levels. The third-party management model limits Summit's control over operational execution at the property level. New hotel supply in key markets could cap RevPAR gains even as demand recovers.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RevPAR growth acceleration toward the high end of 1.75-3.25% 2026 guidance, with Q2's 5% pro forma RevPAR growth and 7.1% ADR increase suggesting improving demand fundamentals in premium select-service markets [1]</w:t>
      </w:r>
    </w:p>
    <w:p>
      <w:pPr>
        <w:spacing w:before="40" w:after="40"/>
        <w:ind w:left="283"/>
      </w:pPr>
      <w:r>
        <w:rPr>
          <w:rFonts w:ascii="Calibri" w:hAnsi="Calibri"/>
          <w:b/>
          <w:color w:val="4A6B25"/>
          <w:sz w:val="20"/>
        </w:rPr>
        <w:t xml:space="preserve">2. </w:t>
      </w:r>
      <w:r>
        <w:rPr>
          <w:rFonts w:ascii="Calibri" w:hAnsi="Calibri"/>
          <w:b w:val="0"/>
          <w:color w:val="3A4A28"/>
          <w:sz w:val="20"/>
        </w:rPr>
        <w:t>Strategic asset dispositions at above-book-value prices, validating the portfolio's replacement value and providing capital for debt reduction or accretive reinvestment in higher-growth markets</w:t>
      </w:r>
    </w:p>
    <w:p>
      <w:pPr>
        <w:spacing w:before="40" w:after="40"/>
        <w:ind w:left="283"/>
      </w:pPr>
      <w:r>
        <w:rPr>
          <w:rFonts w:ascii="Calibri" w:hAnsi="Calibri"/>
          <w:b/>
          <w:color w:val="4A6B25"/>
          <w:sz w:val="20"/>
        </w:rPr>
        <w:t xml:space="preserve">3. </w:t>
      </w:r>
      <w:r>
        <w:rPr>
          <w:rFonts w:ascii="Calibri" w:hAnsi="Calibri"/>
          <w:b w:val="0"/>
          <w:color w:val="3A4A28"/>
          <w:sz w:val="20"/>
        </w:rPr>
        <w:t>CFO hire to restore dedicated financial leadership and reduce CEO bandwidth constraints, potentially improving investor confidence and governance perception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stagnation continuing as new hotel supply enters Summit's markets — revenue has been flat at ~$730M since 2022 despite pandemic recovery, and rate-driven RevPAR growth faces a ceiling as consumer resistance to higher hotel rates intensifies [1]</w:t>
      </w:r>
    </w:p>
    <w:p>
      <w:pPr>
        <w:spacing w:before="40" w:after="40"/>
        <w:ind w:left="283"/>
      </w:pPr>
      <w:r>
        <w:rPr>
          <w:rFonts w:ascii="Calibri" w:hAnsi="Calibri"/>
          <w:b/>
          <w:color w:val="4A6B25"/>
          <w:sz w:val="20"/>
        </w:rPr>
        <w:t xml:space="preserve">2. </w:t>
      </w:r>
      <w:r>
        <w:rPr>
          <w:rFonts w:ascii="Calibri" w:hAnsi="Calibri"/>
          <w:b w:val="0"/>
          <w:color w:val="3A4A28"/>
          <w:sz w:val="20"/>
        </w:rPr>
        <w:t>Balance sheet vulnerability with 112% D/E and negative GAAP earnings — a macroeconomic downturn reducing occupancy could trigger debt covenant stress and force a second dividend suspension, repricing the stock significantly lower [4]</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from CFO departure and CEO dual-role burden creating management bandwidth constraints during a period requiring active portfolio repositioning and capital markets engagement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Hotel real estate is a physical-world asset class that AI structurally cannot displace — guests require actual rooms, physical amenities, and in-person hospitality that no technology can substitute [1]. Summit's portfolio of approximately 100 premium-branded hotels under Marriott, Hilton, IHG, and Hyatt flags benefits from brand distribution systems with deeply embedded booking infrastructure and loyalty programs. While AI may improve back-office operations, revenue management, and guest personalization at the property level, these are efficiency gains managed by third-party operators, not existential threats. AI-driven demand for business travel (conferences, client meetings) and data center construction activity near Summit's markets could increase hotel demand. AI Opportunity (0/1): Summit does not generate revenue from AI products or services; any AI implementation occurs at the property management level by third-party operators, not by Summit's 78-person corporate REIT team.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Summit Hotel Properties Q2 2026 Earnings — Adjusted EPS $0.04 (beat), revenue $199M, pro forma RevPAR +5%, ADR +7.1%; raised 2026 guidance: RevPAR 1.75-3.25%, AFFO $0.79-$0.85/share, 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Summit Hotel Properties Leadership — CEO Jon Stanner (since 2021), CFO resignation requiring CEO dual-role assumption, LinkedIn and Globe and Mail, 2026</w:t>
      </w:r>
    </w:p>
    <w:p>
      <w:pPr>
        <w:spacing w:before="20" w:after="20"/>
        <w:ind w:left="170"/>
      </w:pPr>
      <w:r>
        <w:rPr>
          <w:rFonts w:ascii="Calibri" w:hAnsi="Calibri"/>
          <w:b/>
          <w:color w:val="4A6B25"/>
          <w:sz w:val="15"/>
        </w:rPr>
        <w:t xml:space="preserve">3. </w:t>
      </w:r>
      <w:r>
        <w:rPr>
          <w:rFonts w:ascii="Calibri" w:hAnsi="Calibri"/>
          <w:b w:val="0"/>
          <w:color w:val="3A4A28"/>
          <w:sz w:val="17"/>
        </w:rPr>
        <w:t>Summit Hotel Properties 2025 Corporate Responsibility Report — ~$1M community contributions, 1,400 volunteer hours, 55 charitable organizations, green building initiatives, StreetInsider, 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INN Key Statistics: D/E 112.42%, ROE -0.82%, Profit Margin -0.73%, Revenue Growth 3.2%, Stock Price $5.64,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