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INTC</w:t>
      </w:r>
      <w:r>
        <w:rPr>
          <w:rFonts w:ascii="Calibri" w:hAnsi="Calibri"/>
          <w:b/>
          <w:color w:val="1A2010"/>
          <w:sz w:val="40"/>
        </w:rPr>
        <w:t xml:space="preserve">  Intel Corporation</w:t>
      </w:r>
    </w:p>
    <w:p>
      <w:pPr>
        <w:spacing w:after="120"/>
      </w:pPr>
      <w:r>
        <w:rPr>
          <w:rFonts w:ascii="Calibri" w:hAnsi="Calibri"/>
          <w:b/>
          <w:color w:val="6E8450"/>
          <w:sz w:val="18"/>
        </w:rPr>
        <w:t>GROWTH SLEEVE · 2026-10-05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Intel Corporation designs, manufactures, and sells computing and semiconductor products including CPUs, GPUs, and foundry services. Under CEO Lip-Bu Tan, Intel posted Q2 2026 revenue of $16.1B (+25% YoY, the fastest growth in over 15 years), with 18A process output tracking ~25% above internal targets and Panther Lake entering high-volume manufacturing. Intel Foundry revenue grew 31% YoY to $5.8B, and Data Center AI (DCAI) revenue rose 59% YoY to $6.3B. Q3 2026 guidance of $15.8-16.8B.</w:t>
      </w:r>
    </w:p>
    <w:p>
      <w:r>
        <w:rPr>
          <w:rFonts w:ascii="Calibri" w:hAnsi="Calibri"/>
          <w:b/>
          <w:color w:val="6E8450"/>
          <w:sz w:val="18"/>
        </w:rPr>
        <w:t>85,100 Employees · https://www.intel.com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Lip-Bu Tan's leadership (CEO since March 2025), Intel executed a genuine operational turnaround — flattening management layers, cutting 34% of the global workforce to refocus around engineering, and delivering its strongest revenue growth in over 15 years (+25% YoY to $16.1B in Q2 2026) [1][2]. The external foundry business remains loss-making but the trajectory is positive. AI Deployment (2/2): Data Center AI revenue grew 59% YoY to $6.3B in Q2 2026, and Intel restructured its Client Computing business into a Client Computing and Physical AI Group targeting edge AI and robotics — concrete, quantified AI-driven results [1]. The Infosys collaboration for a multi-layer AI fabric adds enterprise AI deployment evidence. Market Share (1/2): Intel is a meaningful but not leading player in AI silicon — 18A yields track ~25% above internal targets and Panther Lake entered high-volume manufacturing, but Intel still trails TSMC at the leading edge and continues to cede AI-training share to NVIDIA and AMD [1]. Product Pipeline (2/2): Specific next-gen products with named timelines are public — Panther Lake (Core Ultra Series 3) in HVM using ASML High-NA EUV, Wildcat Lake ramping, and a stated 18A/14A process roadmap [1]. R&amp;D Intensity (1/1): Intel R&amp;D spend (~$16B annually) remains among the highest as a percentage of revenue in the semiconductor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Intel's historical mission of 'world-changing technology' was generic, but Tan's explicit refocus — putting engineering back at the center, having every major engineering department report directly to him, and building an 'engineering-centric, customer-focused culture grounded in performance' — gives the current mission more specificity, though it is too recent to call transformative and validated [2]. Community Impact (1/2): Intel maintains STEM education programs and community initiatives including the Intel Foundation, but quietly dropped tying executive bonuses to emissions targets, a retreat sustainability analysts flagged as weakening its ESG narrative [3]. Employee Retention (0/2): Tan cut 34% of the global workforce in 2025 — even if strategically necessary, this represents a high-turnover environment rather than retention strength [2][4]. Insider Buying (2/2): Lip-Bu Tan has personally purchased Intel shares since taking over as CEO, a direct financial signal of conviction in the turnaround that stands out relative to typical executive equity activity at large-cap tech peers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D/E of 49% scores 1.0 against the 70% target — manageable leverage with $50.5B debt offset by $29.7B cash [5]. Revenue growth YoY of 25.4% scores 1.0, well above the 10% target and representing the fastest growth in 15+ years [1]. Forward PEG of 1.36 scores 0.82, below the 1.0 target boundary but reasonable for a turnaround story [5]. Forward P/E of 57.9 scores 0.05, just below the 60x floor [5]. However, profitability metrics remain at their scoring floors: ROE of -10.7% and profit margin of -19.8% reflect the ongoing GAAP losses from the turnaround, and 5-year revenue CAGR of approximately -9.6% (FY2021 $79.0B to FY2025 ~$52.9B) captures the multi-year decline Tan inherited. Liquidity floor easily cleared: 107.8M avg volume x $119.33 = $12.9B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Intel under Lip-Bu Tan reads as a company mid-transformation from finite crisis management toward infinite-game thinking — a genuine engineering-first cultural reset, personal insider stock purchases signaling conviction, and continued 18A/foundry investment despite years of losses are real evidence of long-horizon leadership [2]. But the scale of disruption required (34% workforce reduction) and the fact this cultural shift is only 18 months old mean Intel has not yet demonstrated the multi-cycle consistency Sinek requires for a top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Tan has reoriented Intel around a genuine cause — restoring U.S. semiconductor manufacturing leadership and putting engineering excellence back at the center — that connects to something larger than quarterly earnings and is explicitly referenced in public commentary [2]. CNN described it as Intel's potential 'revival' driven by the AI race. It is not yet a 3 because this is one-CEO-tenure reorientation (18 months) not tested across a full industry cycle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34% workforce reduction, even executed with strategic intent, is objectively a low-trust signal — Intel has not yet had time to rebuild the organizational stability and psychological safety Sinek's framework requires [2][4]. Employees describe fear about further cuts. The 85,100 remaining employees are still adjusting to a dramatically changed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Tan has been publicly candid about Intel trailing TSMC at the leading edge and has pursued partnership (Google Cloud) rather than purely adversarial competitive framing, describing Intel's task as 'catching up and learning' rather than claiming market dominance it does not hold [1][2]. This is the infinite-game mindset of using rivals to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Intel is attempting one of the most dramatic self-reinventions in large-cap technology — shifting from a pure IDM model to an open foundry-services business courting external customers, restructuring its PC group into a Physical AI Group targeting edge AI and robotics, and selling non-core assets to fund the pivot [1][2]. This is a transformative bet on an entirely different business model than the one that built the company, comparable in ambition to Apple's Mac-to-iPhone transition.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Tan cut 34% of the global workforce, paused German and Polish fab expansion, and flattened management layers — painful decisions made specifically to redirect resources toward engineering and 18A execution [2][4]. Personally buying Intel shares while the turnaround was unproven, and continuing to fund 18A and foundry buildout despite the external foundry segment losing billions quarterly, demonstrate a pattern of costly, long-horizon bets. This is textbook courage: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Intel's turnaround under CEO Lip-Bu Tan is gaining measurable traction: Q2 2026 revenue of $16.1B grew 25% YoY — the fastest growth rate in over 15 years — with DCAI revenue surging 59% to $6.3B and Foundry revenue up 31% to $5.8B [1]. Intel 18A is executing ahead of plan with output ~25% above internal targets, Panther Lake is in high-volume manufacturing on ASML High-NA EUV tools, and Q3 guidance of $15.8-16.8B suggests sustained momentum [1]. Tan's operational discipline — flattening the org, cutting 34% of headcount, putting engineering departments directly under his oversight — has delivered six consecutive revenue beats, and his personal share purchases signal genuine conviction [2]. At a forward PEG of 1.36 and $631B market cap, the stock prices in significant recovery but not yet full foundry success.</w:t>
      </w:r>
    </w:p>
    <w:p>
      <w:pPr>
        <w:spacing w:after="120"/>
      </w:pPr>
      <w:r>
        <w:rPr>
          <w:rFonts w:ascii="Calibri" w:hAnsi="Calibri"/>
          <w:b w:val="0"/>
          <w:color w:val="3A4A28"/>
          <w:sz w:val="20"/>
        </w:rPr>
        <w:t>The bear case centers on execution risk in an unproven pivot. ROE of -10.7% and profit margin of -19.8% reflect ongoing GAAP losses, the 5-year revenue CAGR is -9.6% from the deep decline Tan inherited, and Forward P/E of 57.9x is elevated for a company not yet consistently GAAP-profitable [5]. Intel Foundry's external customer revenue remains small against billions in quarterly segment losses — the make-or-break bet that Intel can win outside customers against TSMC at 18A/14A is still unproven [1]. The 34% workforce reduction created near-term organizational strain during Intel's most technically demanding period, and the company continues to cede AI-training silicon share to NVIDIA and AMD even as DCAI grows [4]. Government CHIPS Act funding ($10.86B) comes with workforce and environmental commitments that create political risk amid ongoing layoffs.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18A process output tracking ~25% above internal targets with Panther Lake in HVM — if yields continue improving and Intel wins marquee external foundry customers, the segment's path to breakeven unlocks the foundry-as-a-service thesis [1]</w:t>
      </w:r>
    </w:p>
    <w:p>
      <w:pPr>
        <w:spacing w:before="40" w:after="40"/>
        <w:ind w:left="283"/>
      </w:pPr>
      <w:r>
        <w:rPr>
          <w:rFonts w:ascii="Calibri" w:hAnsi="Calibri"/>
          <w:b/>
          <w:color w:val="4A6B25"/>
          <w:sz w:val="20"/>
        </w:rPr>
        <w:t xml:space="preserve">2. </w:t>
      </w:r>
      <w:r>
        <w:rPr>
          <w:rFonts w:ascii="Calibri" w:hAnsi="Calibri"/>
          <w:b w:val="0"/>
          <w:color w:val="3A4A28"/>
          <w:sz w:val="20"/>
        </w:rPr>
        <w:t>DCAI revenue growth of 59% YoY to $6.3B alongside Google Cloud AI partnership shows Intel capturing AI-cycle demand beyond legacy CPUs, with Q3 2026 guidance of $15.8-16.8B signaling sustained acceleration [1][2]</w:t>
      </w:r>
    </w:p>
    <w:p>
      <w:pPr>
        <w:spacing w:before="40" w:after="40"/>
        <w:ind w:left="283"/>
      </w:pPr>
      <w:r>
        <w:rPr>
          <w:rFonts w:ascii="Calibri" w:hAnsi="Calibri"/>
          <w:b/>
          <w:color w:val="4A6B25"/>
          <w:sz w:val="20"/>
        </w:rPr>
        <w:t xml:space="preserve">3. </w:t>
      </w:r>
      <w:r>
        <w:rPr>
          <w:rFonts w:ascii="Calibri" w:hAnsi="Calibri"/>
          <w:b w:val="0"/>
          <w:color w:val="3A4A28"/>
          <w:sz w:val="20"/>
        </w:rPr>
        <w:t>Tan's engineering-first restructuring producing six consecutive revenue beats — continued execution toward GAAP profitability would re-rate the stock from turnaround to sustainable growth story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Intel Foundry external customer revenue remains small while the segment loses billions quarterly — failure to win marquee 18A/14A external customers against TSMC would materially weaken the capital-intensive turnaround thesis [1]</w:t>
      </w:r>
    </w:p>
    <w:p>
      <w:pPr>
        <w:spacing w:before="40" w:after="40"/>
        <w:ind w:left="283"/>
      </w:pPr>
      <w:r>
        <w:rPr>
          <w:rFonts w:ascii="Calibri" w:hAnsi="Calibri"/>
          <w:b/>
          <w:color w:val="4A6B25"/>
          <w:sz w:val="20"/>
        </w:rPr>
        <w:t xml:space="preserve">2. </w:t>
      </w:r>
      <w:r>
        <w:rPr>
          <w:rFonts w:ascii="Calibri" w:hAnsi="Calibri"/>
          <w:b w:val="0"/>
          <w:color w:val="3A4A28"/>
          <w:sz w:val="20"/>
        </w:rPr>
        <w:t>ROE of -10.7%, profit margin of -19.8%, and 5-year revenue CAGR of -9.6% reflect a company still working through a multi-year decline — Forward P/E of 57.9x leaves little margin for error if growth decelerates [5]</w:t>
      </w:r>
    </w:p>
    <w:p>
      <w:pPr>
        <w:spacing w:before="40" w:after="40"/>
        <w:ind w:left="283"/>
      </w:pPr>
      <w:r>
        <w:rPr>
          <w:rFonts w:ascii="Calibri" w:hAnsi="Calibri"/>
          <w:b/>
          <w:color w:val="4A6B25"/>
          <w:sz w:val="20"/>
        </w:rPr>
        <w:t xml:space="preserve">3. </w:t>
      </w:r>
      <w:r>
        <w:rPr>
          <w:rFonts w:ascii="Calibri" w:hAnsi="Calibri"/>
          <w:b w:val="0"/>
          <w:color w:val="3A4A28"/>
          <w:sz w:val="20"/>
        </w:rPr>
        <w:t>The 34% workforce reduction creates organizational and execution risk during Intel's most technically demanding period (18A ramp, foundry customer wins), and CHIPS Act commitments to create 10,000 jobs clash with ongoing headcount reductions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Intel's core businesses — physical chip manufacturing, x86 CPU architecture, and foundry services backed by CHIPS Act support — carry real structural moats against AI disruption, and the company is positioning itself as AI infrastructure via DCAI (+59% YoY to $6.3B) and a Google Cloud collaboration [1][2]. AI increases demand for compute hardware, and Intel's foundry makes the physical chips AI runs on. The genuine risk is competitive rather than existential: Intel has lost the majority of AI-training silicon share to NVIDIA and AMD's GPU-centric approach, and the foundry must still prove it can win external customers against TSMC at the leading edge [1]. AI Opportunity (1/1): DCAI revenue of $6.3B (+59% YoY) is a specific, quantified AI-driven revenue stream, alongside the Google Cloud AI workload partnership and growing Gaudi accelerator shipments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Intel Q2 2026 Earnings Release — Revenue $16.1B (+25% YoY), DCAI $6.3B (+59%), Foundry $5.8B (+31%), 18A Output +25% Above Target, Q3 Guidance $15.8-16.8B — BusinessWire, CNBC, July 2026</w:t>
      </w:r>
    </w:p>
    <w:p>
      <w:pPr>
        <w:spacing w:before="20" w:after="20"/>
        <w:ind w:left="170"/>
      </w:pPr>
      <w:r>
        <w:rPr>
          <w:rFonts w:ascii="Calibri" w:hAnsi="Calibri"/>
          <w:b/>
          <w:color w:val="4A6B25"/>
          <w:sz w:val="15"/>
        </w:rPr>
        <w:t xml:space="preserve">2. </w:t>
      </w:r>
      <w:r>
        <w:rPr>
          <w:rFonts w:ascii="Calibri" w:hAnsi="Calibri"/>
          <w:b w:val="0"/>
          <w:color w:val="3A4A28"/>
          <w:sz w:val="17"/>
        </w:rPr>
        <w:t>Lip-Bu Tan Turnaround — Workforce Reduction, Engineering-First Restructuring, Insider Share Purchases, Google Cloud AI Partnership — CNN Business, CNBC, June-August 2026</w:t>
      </w:r>
    </w:p>
    <w:p>
      <w:pPr>
        <w:spacing w:before="20" w:after="20"/>
        <w:ind w:left="170"/>
      </w:pPr>
      <w:r>
        <w:rPr>
          <w:rFonts w:ascii="Calibri" w:hAnsi="Calibri"/>
          <w:b/>
          <w:color w:val="4A6B25"/>
          <w:sz w:val="15"/>
        </w:rPr>
        <w:t xml:space="preserve">3. </w:t>
      </w:r>
      <w:r>
        <w:rPr>
          <w:rFonts w:ascii="Calibri" w:hAnsi="Calibri"/>
          <w:b w:val="0"/>
          <w:color w:val="3A4A28"/>
          <w:sz w:val="17"/>
        </w:rPr>
        <w:t>Intel ESG Profile — Dropped Emissions Comp Modifier, STEM Programs, Environmental Commitments — KnowESG, Thomson Reuters, 2026</w:t>
      </w:r>
    </w:p>
    <w:p>
      <w:pPr>
        <w:spacing w:before="20" w:after="20"/>
        <w:ind w:left="170"/>
      </w:pPr>
      <w:r>
        <w:rPr>
          <w:rFonts w:ascii="Calibri" w:hAnsi="Calibri"/>
          <w:b/>
          <w:color w:val="4A6B25"/>
          <w:sz w:val="15"/>
        </w:rPr>
        <w:t xml:space="preserve">4. </w:t>
      </w:r>
      <w:r>
        <w:rPr>
          <w:rFonts w:ascii="Calibri" w:hAnsi="Calibri"/>
          <w:b w:val="0"/>
          <w:color w:val="3A4A28"/>
          <w:sz w:val="17"/>
        </w:rPr>
        <w:t>Intel Workforce Restructuring — 34% Reduction, CHIPS Act Commitments vs Layoffs — Jacobin, MarketScreener,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INTC Key Statistics: Forward P/E 57.9x, PEG 1.36, D/E 49%, ROE -10.7%, Profit Margin -19.8%, Stock Price $119.33,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