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IONS</w:t>
      </w:r>
      <w:r>
        <w:rPr>
          <w:rFonts w:ascii="Calibri" w:hAnsi="Calibri"/>
          <w:b/>
          <w:color w:val="1A2010"/>
          <w:sz w:val="40"/>
        </w:rPr>
        <w:t xml:space="preserve">  Ionis Pharmaceuticals, Inc.</w:t>
      </w:r>
    </w:p>
    <w:p>
      <w:pPr>
        <w:spacing w:after="120"/>
      </w:pPr>
      <w:r>
        <w:rPr>
          <w:rFonts w:ascii="Calibri" w:hAnsi="Calibri"/>
          <w:b/>
          <w:color w:val="6E8450"/>
          <w:sz w:val="18"/>
        </w:rPr>
        <w:t>GROWTH SLEEVE · 2026-09-10 · Inspire: 35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Ionis Pharmaceuticals is the pioneer and global leader in RNA-targeted therapeutics, leveraging its proprietary antisense technology platform to develop medicines for serious diseases. The company has a pipeline of 40+ programs across cardiovascular, neurological, and rare disease indications. Key commercial products include DAWNZERA (eplontersen) for ATTR polyneuropathy and TRYNGOLZA (olezarsen) for severe hypertriglyceridemia, approved in June 2026. Management raised 2026 revenue guidance to $875M-$900M (~20% YoY growth) and increased olezarsen peak sales expectations to over $3B. Founded in 1989 by Stanley Crooke and headquartered in Carlsbad, California, Ionis is targeting cash flow breakeven by 2028 as it transitions from a platform licensing model to a fully integrated commercial biopharmaceutical company. Market cap is approximately $12.4B.</w:t>
      </w:r>
    </w:p>
    <w:p>
      <w:r>
        <w:rPr>
          <w:rFonts w:ascii="Calibri" w:hAnsi="Calibri"/>
          <w:b/>
          <w:color w:val="6E8450"/>
          <w:sz w:val="18"/>
        </w:rPr>
        <w:t>850 Employees · https://www.ionis.com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Ionis has delivered two significant drug approvals in recent years — DAWNZERA (eplontersen, for hereditary ATTR polyneuropathy) and TRYNGOLZA (olezarsen, approved June 2026 for severe hypertriglyceridemia), the first and only approved treatment to reduce triglycerides and prevent acute pancreatitis in this patient population [1][2]. These approvals opened new revenue streams and validated the antisense technology platform that Ionis has developed over 35 years. Commercial revenue grew 15% in Q2 2026 to $118.6M. However, Ionis has not fundamentally reinvented itself — it has been executing on the same core antisense technology platform since founding, making this consistent execution rather than a transformative pivot. AI Deployment (0/2): No evidence of shipping AI-powered products to customers. Ionis uses computational methods in drug discovery and antisense oligonucleotide design, but these are internal R&amp;D tools, not customer-facing AI products or separately quantified AI-driven savings [3]. Market Share (2/2): Ionis is the undisputed global leader in antisense/RNA-targeted therapeutics — the company defined and dominates the category it created [3]. With the largest pipeline of RNA-targeted therapeutics globally (40+ programs), proprietary antisense chemistry developed over 35 years, and foundational IP in the space, Ionis has category-defining market position that no competitor has replicated at scale. The antisense platform represents a structural competitive advantage built over decades. Pipeline (2/2): Massive pipeline with 40+ programs across Phase 1-3, with specific programs named and timelines visible. TRYNGOLZA launched June 2026 with peak sales raised to &gt;$3B. Multiple Phase 3 readouts expected. Revenue guidance of $875-900M for 2026 with ~20% growth demonstrates clear pipeline-to-revenue visibility [1][2]. R&amp;D Intensity (1/1): As a biotech with a 40+ program pipeline, Ionis's R&amp;D spending is massive relative to revenue and significantly above industry averages — the company has consistently prioritized R&amp;D investment over near-term profitability, contributing to the current -30.9% net margin as it builds long-term pipeline value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Ionis's purpose — pioneering RNA-targeted therapeutics to transform the lives of patients with serious diseases — is specific, thoughtful, and distinctively connected to a 35-year commitment that differentiates from pharmaceutical peers [3]. The company's story emphasizes being 'leaders in RNA-targeted therapeutics' with an 'innovation-focused, science-driven culture' and 'commitment to the patients we serve.' Stanley Crooke founded the company to pioneer a technology most considered impossible, and strategic decisions (decades of R&amp;D investment through losses, maintaining a massive pipeline) clearly trace back to the mission. This is a genuine, lived purpose that shapes behavior, though it hasn't yet been tested through the kind of existential crisis that would elevate it to a 4. Community Impact (1/2): Ionis produces a Corporate Responsibility Report and has integrated ESG into business practices according to Sustainalytics (ESG Management rated 'Average') [5]. The company's drug access programs for approved therapies demonstrate some commitment to patient access. However, no specific charitable foundations, dollar amounts for community investment, or distinctive philanthropic programs were identified beyond standard pharma patient assistance programs. Employee Retention (1/2): Ionis describes a culture where there is 'a bias to say yes to novel ideas' and emphasizes 'fairness and inclusion' with an environment where 'every employee feels empowered to contribute' [3]. CEO Brett Monia is a long-tenured internal promotion from the scientific ranks, suggesting a culture where talent develops and advances internally. However, no specific turnover rates or average tenure data is available. Insider Buying (0/2): No evidence of meaningful net insider buying by CEO Brett Monia or other executives in the last 12 months was identified.</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Ionis's Infrastructure score is severely penalized by its pre-profitability biotech financial profile. D/E of 531% dramatically exceeds the 300% floor (score 0.0), reflecting $2.61B in debt against approximately $491M in equity — the debt load funded years of R&amp;D investment in the 40+ program pipeline [4]. ROE of -67.62% (score 0.0, 2x weight for Growth) and net profit margin of -30.9% (score 0.0) reflect continued losses as commercial revenue ramps but cannot yet offset R&amp;D spending — the company targets cash flow breakeven by 2028 [1][2]. The bright spots are revenue growth YoY of approximately +20% (score 1.0, 1x weight) driven by DAWNZERA and TRYNGOLZA commercial launches and collaboration milestones, and a modest 5-year revenue CAGR of approximately 2% (score 0.47, 2x weight) reflecting lumpy collaboration revenue and the recent inflection in commercial revenue [4]. Forward P/E and Forward PEG are not available due to negative current earnings and are excluded from the calculation. Daily dollar volume of approximately $218M provides institutional-grade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Ionis is one of the pharmaceutical industry's most compelling infinite game players — a company that spent 35 years pursuing a technology platform (antisense therapeutics) that most of the scientific community considered impossible, investing through decades of losses and skepticism because the founders believed RNA-targeted medicines could transform patient lives. Founder Stanley Crooke built a culture of scientific courage and long-term thinking that successive CEO Brett Monia has maintained. The decision to remain independent and build commercial capability rather than selling to big pharma demonstrates existential flexibility in service of the cause. The primary finite-game signal is the significant debt load ($2.61B) that constrains strategic freedom.</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Ionis's purpose — pioneering RNA-targeted therapeutics to treat serious diseases where patients have no alternatives — is genuine, distinctive, and has been validated by 35 years of consistent strategic decisions [3]. Founder Stanley Crooke invested decades in antisense technology when most scientists considered it futile, sustaining the vision through multiple near-death experiences and funding crises. The cause has survived a leadership transition (Crooke to Monia) and continued to shape capital allocation (maintaining 40+ program pipeline despite persistent losses). Drug development decisions clearly trace back to the mission of helping patients with unmet needs, as evidenced by the TRYNGOLZA approval addressing severe hypertriglyceridemia — a small patient population where no prior treatment existed [2]. However, the company has not yet faced a post-Crooke existential crisis that would prove the cause survives deep adversity under new leadership.</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Ionis has cultivated a science-driven culture with 'a bias to say yes to novel ideas' and an emphasis on 'galvanic scientific leaders' and 'prudent risk-taking' [3]. CEO Brett Monia is a long-tenured internal promotion from the scientific ranks, suggesting a meritocratic culture where talent develops and advances. The company emphasizes inclusion and empowerment across its workforce. However, no specific evidence of exceptional trust-building practices was identified — no employee turnover data, no survey results, and no distinctive organizational practices beyond standard corporate culture statements. The ~850-person workforce is relatively small for a $12B company, which may facilitate closer organizational relationships.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Ionis's competitive approach reflects an infinite mindset — the company focuses on advancing its antisense technology platform and serving patients rather than destroying competitors [3]. Ionis collaborates with major pharmaceutical companies (Biogen, AstraZeneca, Novartis, Roche) that could be viewed as competitors, using partnerships to expand the reach of its technology rather than hoarding it. The company acknowledges the broader RNA therapeutics landscape (Alnylam in siRNA, mRNA companies) without framing competition as a zero-sum war. Management commentary focuses on 'pioneering' and 'leading' rather than 'beating' or 'winning against' specific rivals.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Ionis has made a meaningful business model evolution — transitioning from a platform licensing company (partnering drugs with big pharma and collecting royalties) to retaining full commercial rights on key assets like TRYNGOLZA, building its own commercial infrastructure, and targeting full integration as a commercial-stage biopharmaceutical company [1][2]. This transition from a licensing model to a commercial model represents genuine strategic adaptation. However, the core technology (antisense therapeutics) has been constant for 35 years — this is remarkable consistency rather than existential flexibility. The company has not abandoned a core business to pursue a fundamentally different direction.</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Ionis is a textbook example of courageous long-term leadership. The company has operated at a loss for most of its 35-year history, consistently choosing to invest in its 40+ program R&amp;D pipeline and the antisense technology platform rather than cutting research for near-term profitability [1][4]. The decision to remain independent rather than selling to big pharma — despite multiple opportunities — represents choosing long-term mission integrity over immediate shareholder returns. The pricing of TRYNGOLZA at $40,000 (above the initially indicated $10,000-$20,000 range) shows willingness to value their innovation appropriately despite potential backlash [5]. The company maintains ~$300M+ in annual R&amp;D investment while targeting breakeven in 2028, demonstrating a consistent pattern of prioritizing future capability over current earnings.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Ionis at $87 offers exposure to the global leader in RNA-targeted therapeutics at an inflection point — commercial revenue is accelerating with two FDA-approved drugs (DAWNZERA and TRYNGOLZA), management raised 2026 revenue guidance to $875-900M (~20% YoY growth), and olezarsen peak sales expectations were increased to over $3B [1][2]. The 40+ program pipeline provides massive optionality across cardiovascular, neurological, and rare disease indications, with multiple Phase 3 readouts expected to provide additional catalysts. The antisense technology platform, developed over 35 years with deep IP protection, represents one of the most defensible competitive positions in biopharmaceuticals — no competitor has replicated Ionis's depth of antisense chemistry expertise. The path to cash flow breakeven by 2028 would transform the financial profile, and the Inspire Impact Score of 35 (ALIGNED) with 11 positive ESG attributions makes Ionis attractive for faith-based investors [3].</w:t>
      </w:r>
    </w:p>
    <w:p>
      <w:pPr>
        <w:spacing w:after="120"/>
      </w:pPr>
      <w:r>
        <w:rPr>
          <w:rFonts w:ascii="Calibri" w:hAnsi="Calibri"/>
          <w:b w:val="0"/>
          <w:color w:val="3A4A28"/>
          <w:sz w:val="20"/>
        </w:rPr>
        <w:t>The bear case centers on Ionis's challenging financial profile and execution risk. D/E of 531% reflects $2.61B in debt against ~$491M equity — this leverage constrains strategic flexibility and creates refinancing risk if commercial ramp disappoints [4]. The -30.9% net profit margin and -67.62% ROE demonstrate the company is still burning significant cash, with breakeven not expected until 2028 — any pipeline setback or slower-than-expected commercial uptake could push breakeven further out and require additional dilutive financing. TRYNGOLZA's pricing at $40,000 (double the initially indicated range) creates payer pushback risk and potential access limitations that could constrain peak sales below the &gt;$3B target [5]. The 5-year revenue CAGR of only ~2% reflects lumpy collaboration revenue and the early stage of the commercial transition — Ionis must prove it can sustain 20%+ growth as milestone payments normalize. Clinical trial failure risk is inherent to the 40+ program pipeline: a Phase 3 failure on a key program could materially impair the long-term revenue trajectory and stock valuation.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TRYNGOLZA (olezarsen) commercial launch in severe hypertriglyceridemia with peak sales raised to &gt;$3B — the first and only approved treatment in this indication provides pricing power and a large unaddressed patient population, with launch metrics in the first quarters providing visibility into the trajectory [1][2]</w:t>
      </w:r>
    </w:p>
    <w:p>
      <w:pPr>
        <w:spacing w:before="40" w:after="40"/>
        <w:ind w:left="283"/>
      </w:pPr>
      <w:r>
        <w:rPr>
          <w:rFonts w:ascii="Calibri" w:hAnsi="Calibri"/>
          <w:b/>
          <w:color w:val="4A6B25"/>
          <w:sz w:val="20"/>
        </w:rPr>
        <w:t xml:space="preserve">2. </w:t>
      </w:r>
      <w:r>
        <w:rPr>
          <w:rFonts w:ascii="Calibri" w:hAnsi="Calibri"/>
          <w:b w:val="0"/>
          <w:color w:val="3A4A28"/>
          <w:sz w:val="20"/>
        </w:rPr>
        <w:t>Path to cash flow breakeven by 2028 as commercial revenue scales — achieving this milestone would transform Ionis from a loss-making biotech to a self-sustaining commercial enterprise, potentially triggering a significant re-rating of the stock's valuation multiple [1]</w:t>
      </w:r>
    </w:p>
    <w:p>
      <w:pPr>
        <w:spacing w:before="40" w:after="40"/>
        <w:ind w:left="283"/>
      </w:pPr>
      <w:r>
        <w:rPr>
          <w:rFonts w:ascii="Calibri" w:hAnsi="Calibri"/>
          <w:b/>
          <w:color w:val="4A6B25"/>
          <w:sz w:val="20"/>
        </w:rPr>
        <w:t xml:space="preserve">3. </w:t>
      </w:r>
      <w:r>
        <w:rPr>
          <w:rFonts w:ascii="Calibri" w:hAnsi="Calibri"/>
          <w:b w:val="0"/>
          <w:color w:val="3A4A28"/>
          <w:sz w:val="20"/>
        </w:rPr>
        <w:t>Multiple Phase 3 readouts from the 40+ program pipeline expected over the next 12-18 months — positive data on any major program would add incremental pipeline value and validate the antisense platform's productivity, while the pipeline's breadth provides multiple shots on goal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Heavy debt load of $2.61B (D/E 531%) creates refinancing risk and constrains strategic flexibility — if commercial revenue ramp disappoints or a key clinical program fails, additional dilutive financing may be required before the 2028 breakeven target [4]</w:t>
      </w:r>
    </w:p>
    <w:p>
      <w:pPr>
        <w:spacing w:before="40" w:after="40"/>
        <w:ind w:left="283"/>
      </w:pPr>
      <w:r>
        <w:rPr>
          <w:rFonts w:ascii="Calibri" w:hAnsi="Calibri"/>
          <w:b/>
          <w:color w:val="4A6B25"/>
          <w:sz w:val="20"/>
        </w:rPr>
        <w:t xml:space="preserve">2. </w:t>
      </w:r>
      <w:r>
        <w:rPr>
          <w:rFonts w:ascii="Calibri" w:hAnsi="Calibri"/>
          <w:b w:val="0"/>
          <w:color w:val="3A4A28"/>
          <w:sz w:val="20"/>
        </w:rPr>
        <w:t>TRYNGOLZA pricing risk at $40,000 per year (double the initially indicated $10,000-$20,000 range) could trigger payer pushback, restricted formulary access, or political scrutiny that constrains peak sales below the &gt;$3B target [5]</w:t>
      </w:r>
    </w:p>
    <w:p>
      <w:pPr>
        <w:spacing w:before="40" w:after="40"/>
        <w:ind w:left="283"/>
      </w:pPr>
      <w:r>
        <w:rPr>
          <w:rFonts w:ascii="Calibri" w:hAnsi="Calibri"/>
          <w:b/>
          <w:color w:val="4A6B25"/>
          <w:sz w:val="20"/>
        </w:rPr>
        <w:t xml:space="preserve">3. </w:t>
      </w:r>
      <w:r>
        <w:rPr>
          <w:rFonts w:ascii="Calibri" w:hAnsi="Calibri"/>
          <w:b w:val="0"/>
          <w:color w:val="3A4A28"/>
          <w:sz w:val="20"/>
        </w:rPr>
        <w:t>Clinical trial failure risk across the 40+ program pipeline — while breadth provides diversification, a Phase 3 failure on a high-value program (representing significant R&amp;D investment) could materially impair the revenue trajectory and delay the path to profitability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Ionis's core business — developing and commercializing RNA-targeted therapeutic drugs — is structurally immune to AI disruption. Physical drug molecules cannot be replaced by software. Drug development is one of the most heavily regulated industries in the world, requiring 10-15 years of clinical trials, FDA approval processes, and manufacturing infrastructure that AI cannot substitute [1][3]. Ionis's proprietary antisense chemistry platform, built over 35 years with deep IP protection, creates massive barriers to entry that no AI system can replicate — the knowledge embedded in their oligonucleotide chemistry, pharmacokinetics, and delivery technology represents decades of accumulated expertise. AI may accelerate competitors' drug discovery timelines, modestly compressing Ionis's first-mover advantage in new targets, but cannot eliminate the clinical trial, manufacturing, and regulatory requirements that constitute the core value chain. No analysts have flagged AI as a displacement threat to Ionis's business model. AI Opportunity (0/1): Ionis uses computational methods in drug design and target identification, but does not generate separately quantifiable revenue from AI products or services. AI is a tool within R&amp;D, not a revenue source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Regulatory Adherence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Ionis Pharmaceuticals Q2 2026 Earnings Release — Revenue $267.9M, Commercial Revenue $118.6M (+15%), 2026 Guidance Raised to $875-900M (~20% Growth), Breakeven Target 2028, August 2026</w:t>
      </w:r>
    </w:p>
    <w:p>
      <w:pPr>
        <w:spacing w:before="20" w:after="20"/>
        <w:ind w:left="170"/>
      </w:pPr>
      <w:r>
        <w:rPr>
          <w:rFonts w:ascii="Calibri" w:hAnsi="Calibri"/>
          <w:b/>
          <w:color w:val="4A6B25"/>
          <w:sz w:val="15"/>
        </w:rPr>
        <w:t xml:space="preserve">2. </w:t>
      </w:r>
      <w:r>
        <w:rPr>
          <w:rFonts w:ascii="Calibri" w:hAnsi="Calibri"/>
          <w:b w:val="0"/>
          <w:color w:val="3A4A28"/>
          <w:sz w:val="17"/>
        </w:rPr>
        <w:t>Ionis Pharmaceuticals Q1 2026 Earnings &amp; Pipeline Update — Revenue $246M (+87% YoY), TRYNGOLZA Approved June 2026, Olezarsen Peak Sales Raised to &gt;$3B, 40+ Programs, May 2026</w:t>
      </w:r>
    </w:p>
    <w:p>
      <w:pPr>
        <w:spacing w:before="20" w:after="20"/>
        <w:ind w:left="170"/>
      </w:pPr>
      <w:r>
        <w:rPr>
          <w:rFonts w:ascii="Calibri" w:hAnsi="Calibri"/>
          <w:b/>
          <w:color w:val="4A6B25"/>
          <w:sz w:val="15"/>
        </w:rPr>
        <w:t xml:space="preserve">3. </w:t>
      </w:r>
      <w:r>
        <w:rPr>
          <w:rFonts w:ascii="Calibri" w:hAnsi="Calibri"/>
          <w:b w:val="0"/>
          <w:color w:val="3A4A28"/>
          <w:sz w:val="17"/>
        </w:rPr>
        <w:t>Ionis Pharmaceuticals Company Website — Our Story, Leadership (CEO Brett P. Monia), Culture of Fairness and Inclusion, RNA-Targeted Therapeutics Pioneer,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IONS Key Statistics: Market Cap $12.42B, Stock Price ~$87, D/E 531%, ROE -67.62%, Profit Margin -30.9%, Cash $1.98B, Debt $2.61B,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Ionis ESG and Drug Pricing — Sustainalytics ESG Risk Rating (Average), TRYNGOLZA Pricing $40,000 (Above Initial $10K-$20K Guidance), Oppenheimer PT $104, Investing.com/Sustainalytics,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