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IOVA</w:t>
      </w:r>
      <w:r>
        <w:rPr>
          <w:rFonts w:ascii="Calibri" w:hAnsi="Calibri"/>
          <w:b/>
          <w:color w:val="1A2010"/>
          <w:sz w:val="40"/>
        </w:rPr>
        <w:t xml:space="preserve">  Iovance Biotherapeutics, Inc.</w:t>
      </w:r>
    </w:p>
    <w:p>
      <w:pPr>
        <w:spacing w:after="120"/>
      </w:pPr>
      <w:r>
        <w:rPr>
          <w:rFonts w:ascii="Calibri" w:hAnsi="Calibri"/>
          <w:b/>
          <w:color w:val="6E8450"/>
          <w:sz w:val="18"/>
        </w:rPr>
        <w:t>GROWTH SLEEVE · 2026-10-08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NGM · United States</w:t>
      </w:r>
    </w:p>
    <w:p>
      <w:pPr>
        <w:spacing w:after="80"/>
      </w:pPr>
      <w:r>
        <w:rPr>
          <w:rFonts w:ascii="Calibri" w:hAnsi="Calibri"/>
          <w:b w:val="0"/>
          <w:color w:val="3A4A28"/>
          <w:sz w:val="20"/>
        </w:rPr>
        <w:t>Iovance Biotherapeutics is a commercial-stage biopharmaceutical company developing and commercializing autologous tumor infiltrating lymphocyte (TIL) cell therapies for solid tumor cancers. Its lead product Amtagvi (lifileucel) is the first FDA-approved TIL therapy, generating $91M in Q2 2026 revenue (up 68% YoY). The company also markets Proleukin (IL-2) and has a pipeline spanning melanoma, cervical cancer, NSCLC, endometrial cancer, and HNSCC. H1 2026 revenue reached $170.7M with FY2026 guidance of $350-370M.</w:t>
      </w:r>
    </w:p>
    <w:p>
      <w:r>
        <w:rPr>
          <w:rFonts w:ascii="Calibri" w:hAnsi="Calibri"/>
          <w:b/>
          <w:color w:val="6E8450"/>
          <w:sz w:val="18"/>
        </w:rPr>
        <w:t>975 Employees · https://www.iovance.com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Iovance achieved one of oncology's most significant breakthroughs by bringing Amtagvi (lifileucel) to FDA approval in February 2024 — the first-ever approved TIL cell therapy for solid tumors, creating an entirely new treatment modality for metastatic melanoma [1]. The company scaled from essentially zero revenue in 2023 to $263.5M in 2025 and is tracking toward $350-370M in 2026, demonstrating both scientific and commercial execution in a field where most cell therapies have failed to reach market. AI Deployment (0/2): No evidence of AI-powered products or AI-driven cost savings. Iovance's innovation is rooted in cell biology and immunotherapy, not artificial intelligence. Market Share (2/2): Amtagvi is the only FDA-approved TIL cell therapy on the market — Iovance defines and leads the entire category with no direct competitors in approved TIL therapy for solid tumors [1][2]. This is monopoly-level category creation. Product Pipeline (2/2): Robust pipeline with specific clinical programs: lifileucel expanding into cervical cancer, NSCLC, endometrial cancer (40% response rate in trial), and HNSCC; next-generation constructs LN-145-S1, Gen 3 (core biopsy), gene-edited IOV-4001, and IOV-3001 for modified TIL regimens [2]. Boehringer Ingelheim collaboration adds partnership validation. R&amp;D Intensity (1/1): As a clinical-stage biotech, Iovance invests the majority of its spending on R&amp;D and clinical trials — operating losses of $391M in 2025 reflect heavy investment in pipeline expansion while commercializing Amtagvi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Iovance's purpose — developing personalized cell therapies that harness a patient's own immune system to fight solid tumor cancers — is specific, distinctive, and connects the company's work to one of medicine's most important challenges [2]. The mission is clearly purpose-driven: Amtagvi provides a treatment option for patients who have exhausted other therapies, directly addressing unmet medical need. Falls short of a 4 because the company is too young (founded 2007, commercial since 2024) to have validated the mission through multiple crises or leadership transitions. Community Impact (0/2): No specific charitable programs, community investment, or foundation activity was identified beyond the inherent social value of developing cancer treatments. Employee Retention (0/2): Iovance has operated under an interim CEO (Frederick Vogt) for an extended period, creating strategic ambiguity during a critical commercialization phase [2]. With only 975 employees and high-pressure manufacturing and clinical timelines, no specific retention data was available.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Iovance's infrastructure profile reflects a pre-profit commercial-stage biotech: D/E of just 6.25% (score 1.0) demonstrates minimal leverage with $298M cash against $46M debt [1]. Revenue growth is exceptional at 65.7% YoY (score 1.0), driven by Amtagvi's rapid commercial uptake from $164M in 2024 to $263.5M in 2025 [1]. However, the company remains deeply unprofitable: ROE of -40.4% (score 0.0, 2x weight) and profit margin of -89.1% (score 0.0) reflect heavy R&amp;D and commercial scale-up investment. Forward PE is negative (company has negative forward earnings), reflecting expected continued losses through at least 2027. Revenue growth 5-year CAGR and PEG ratio are unavailable (excluded from calculation) given the company's transition from pre-revenue to commercial stage. Gross margin improved to 56% in Q2 2026 from 41% in Q1, signaling improving unit economics as Amtagvi manufacturing scales [1]. Daily dollar volume of $230.6M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Iovance is a young company with a genuinely noble purpose — transforming outcomes for cancer patients through personalized TIL cell therapy — but it lacks the organizational maturity, leadership stability, and track record to score well on Sinek's infinite game criteria. The prolonged interim CEO situation, the company's short commercial history (since 2024), and the absence of demonstrated existential flexibility or worthy rival thinking all point to a company still in survival mode rather than one built for endurance. The scientific mission is compelling, but the organizational infrastructure to sustain it through inevitable setbacks has not yet been proven.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Iovance's purpose — harnessing a patient's own immune system to fight solid tumor cancers — is a genuine Just Cause that inspires sacrifice and contribution [2]. Developing the first FDA-approved TIL therapy required over a decade of persistent effort despite repeated setbacks and clinical uncertainty. The cause is inclusive (patients, researchers, clinicians all contribute), service-oriented (benefits cancer patients with no other options), and idealistic (a world where the body's own immune system defeats cancer). However, the company has not yet proven this cause can survive a leadership transition, a clinical failure, or a major competitive threat — the organizational commitment to the cause beyond individual champions remains untested.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prolonged interim CEO situation (Frederick Vogt serving as interim CEO since 2021) signals organizational instability at the most critical level [2]. An extended interim leadership period during commercialization and clinical expansion creates strategic ambiguity and suggests the board has struggled with permanent succession. Reports of workload pressure from urgent timelines, shift requirements, and tight release schedules at manufacturing sites further suggest a high-pressure environment that may lack the psychological safety Sinek envisions. With only 975 employees, the organization is small enough that leadership uncertainty permeates the entire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Iovance acknowledging competitors' strengths or framing competition as motivation for self-improvement. As the only company with an approved TIL therapy, Iovance operates without direct worthy rivals in its specific category. No management commentary was found that references learning from competitors such as BioNTech, Moderna, or traditional CAR-T players like Novartis and Gilead.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Iovance is too young and focused to have demonstrated existential flexibility. The company has pursued TIL cell therapy since its founding (originally as Lion Biotechnologies), and while this singular focus enabled the Amtagvi breakthrough, it has not faced the test of needing to abandon a profitable business line or fundamentally reinvent its approach. The pipeline expansion into multiple cancer types represents incremental extension of the same platform, not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Iovance invested heavily in TIL therapy development for over a decade before generating meaningful revenue, accumulating over $1.5B in cumulative net losses through the R&amp;D and approval process [1]. The decision to build proprietary cGMP manufacturing capability rather than outsourcing — accepting higher upfront costs for long-term control — demonstrates some strategic courage. However, this pattern is typical of biotech development rather than exceptional, and the interim CEO situation suggests a gap in leadership courage at the board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Iovance at $12.92 with a $5.9B market cap is the pioneer of TIL cell therapy, the first new modality in solid tumor immuno-oncology in years. Amtagvi generated $91M in Q2 2026 revenue (up 68% YoY, beating guidance by 13%), with H1 2026 revenue of $170.7M tracking toward FY2026 guidance of $350-370M [1]. Gross margins expanded from 41% in Q1 to 56% in Q2, demonstrating improving manufacturing economics as production scales. The company defines its category with no direct competitors in approved TIL therapy, and a deep pipeline spanning five solid tumor types (melanoma, cervical, NSCLC, endometrial with a 40% response rate, HNSCC) provides multiple shots on goal for label expansion. Cash of $304M funds operations into H2 2028, and the Boehringer Ingelheim collaboration validates the platform's commercial potential [1][2].</w:t>
      </w:r>
    </w:p>
    <w:p>
      <w:pPr>
        <w:spacing w:after="120"/>
      </w:pPr>
      <w:r>
        <w:rPr>
          <w:rFonts w:ascii="Calibri" w:hAnsi="Calibri"/>
          <w:b w:val="0"/>
          <w:color w:val="3A4A28"/>
          <w:sz w:val="20"/>
        </w:rPr>
        <w:t>The bear case centers on profitability timeline, execution risk, and leadership uncertainty. Despite 66% revenue growth, Iovance lost $47.3M in Q2 2026 alone and $391M in 2025, with profitability not expected before 2028 at the earliest [1]. TIL manufacturing is inherently complex — each treatment requires surgically resecting patient tumor tissue, a 22-day manufacturing process, and lymphodepletion chemotherapy — limiting the addressable market to major cancer centers and creating scaling constraints that traditional drug manufacturing does not face. The stock trades at a premium to revenue ($5.9B market cap on $350-370M guided revenue) with negative earnings, leaving no margin of safety if clinical programs disappoint or manufacturing challenges emerge. The prolonged interim CEO situation (Frederick Vogt since 2021) signals governance instability during a critical commercialization phase, and competition from next-generation approaches (engineered TILs, gene-edited cell therapies, bispecific antibodies) could erode Iovance's first-mover advantage over the medium term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Amtagvi commercial uptake accelerating with Q2 2026 revenue of $91M exceeding guidance by 13% and gross margins expanding to 56%, suggesting improving unit economics and a path toward profitability as manufacturing scales [1]</w:t>
      </w:r>
    </w:p>
    <w:p>
      <w:pPr>
        <w:spacing w:before="40" w:after="40"/>
        <w:ind w:left="283"/>
      </w:pPr>
      <w:r>
        <w:rPr>
          <w:rFonts w:ascii="Calibri" w:hAnsi="Calibri"/>
          <w:b/>
          <w:color w:val="4A6B25"/>
          <w:sz w:val="20"/>
        </w:rPr>
        <w:t xml:space="preserve">2. </w:t>
      </w:r>
      <w:r>
        <w:rPr>
          <w:rFonts w:ascii="Calibri" w:hAnsi="Calibri"/>
          <w:b w:val="0"/>
          <w:color w:val="3A4A28"/>
          <w:sz w:val="20"/>
        </w:rPr>
        <w:t>Label expansion potential across five solid tumor types — the 40% response rate in endometrial cancer and ongoing trials in cervical, NSCLC, and HNSCC could multiply the addressable patient population several-fold beyond melanoma [2]</w:t>
      </w:r>
    </w:p>
    <w:p>
      <w:pPr>
        <w:spacing w:before="40" w:after="40"/>
        <w:ind w:left="283"/>
      </w:pPr>
      <w:r>
        <w:rPr>
          <w:rFonts w:ascii="Calibri" w:hAnsi="Calibri"/>
          <w:b/>
          <w:color w:val="4A6B25"/>
          <w:sz w:val="20"/>
        </w:rPr>
        <w:t xml:space="preserve">3. </w:t>
      </w:r>
      <w:r>
        <w:rPr>
          <w:rFonts w:ascii="Calibri" w:hAnsi="Calibri"/>
          <w:b w:val="0"/>
          <w:color w:val="3A4A28"/>
          <w:sz w:val="20"/>
        </w:rPr>
        <w:t>Next-generation TIL constructs (LN-145-S1, Gen 3, gene-edited IOV-4001) could reduce manufacturing complexity, improve efficacy, and expand the competitive moat, with the Boehringer Ingelheim collaboration providing partnership validation and capital efficiency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remains distant with $391M net loss in 2025 and $47.3M loss in Q2 2026 despite 66% revenue growth — the complex, patient-specific manufacturing process limits gross margin expansion and scaling speed compared to traditional pharmaceuticals [1]</w:t>
      </w:r>
    </w:p>
    <w:p>
      <w:pPr>
        <w:spacing w:before="40" w:after="40"/>
        <w:ind w:left="283"/>
      </w:pPr>
      <w:r>
        <w:rPr>
          <w:rFonts w:ascii="Calibri" w:hAnsi="Calibri"/>
          <w:b/>
          <w:color w:val="4A6B25"/>
          <w:sz w:val="20"/>
        </w:rPr>
        <w:t xml:space="preserve">2. </w:t>
      </w:r>
      <w:r>
        <w:rPr>
          <w:rFonts w:ascii="Calibri" w:hAnsi="Calibri"/>
          <w:b w:val="0"/>
          <w:color w:val="3A4A28"/>
          <w:sz w:val="20"/>
        </w:rPr>
        <w:t>Prolonged interim CEO leadership (Frederick Vogt since 2021) creates strategic uncertainty during Iovance's most critical commercialization phase, and governance instability could impair execution, clinical development decisions, and talent retention [2]</w:t>
      </w:r>
    </w:p>
    <w:p>
      <w:pPr>
        <w:spacing w:before="40" w:after="40"/>
        <w:ind w:left="283"/>
      </w:pPr>
      <w:r>
        <w:rPr>
          <w:rFonts w:ascii="Calibri" w:hAnsi="Calibri"/>
          <w:b/>
          <w:color w:val="4A6B25"/>
          <w:sz w:val="20"/>
        </w:rPr>
        <w:t xml:space="preserve">3. </w:t>
      </w:r>
      <w:r>
        <w:rPr>
          <w:rFonts w:ascii="Calibri" w:hAnsi="Calibri"/>
          <w:b w:val="0"/>
          <w:color w:val="3A4A28"/>
          <w:sz w:val="20"/>
        </w:rPr>
        <w:t>Competition from emerging modalities — engineered TILs from academic centers, gene-edited cell therapies, bispecific antibodies, and checkpoint combination regimens — could erode first-mover advantage in solid tumor immunotherapy over the medium term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Iovance's core business — manufacturing personalized cell therapies from a patient's own tumor tissue — is structurally immune to AI disruption [2]. The TIL therapy process involves surgically resecting tumor tissue, isolating tumor-infiltrating lymphocytes, expanding them ex vivo in a specialized manufacturing facility, and infusing them back into the patient. This is a physical, biological, heavily regulated (FDA cGMP) manufacturing process that AI cannot substitute. AI tools may eventually optimize aspects of cell expansion protocols or patient selection, but they cannot replace the fundamental biology of harvesting and growing patient-specific immune cells. The regulatory barriers to entry (BLA approval, cGMP manufacturing) provide additional structural protection. No analysts have flagged AI as a risk to cell therapy companies. AI Opportunity (0/1): Iovance does not generate revenue from AI products or services. While AI may eventually play a role in optimizing manufacturing processes or identifying biomarkers for patient selection, no quantifiable AI-driven revenue exists today.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Iovance Q2 2026 Earnings — Revenue $99.3M (+66% YoY), Amtagvi $91M (+68% YoY), Gross Margin 56%, Net Loss $47.3M, FY26 Guidance $350-370M, Cash $304M — SEC Form 8-K, Quartr, Eastern Progress, Webull, August 2026</w:t>
      </w:r>
    </w:p>
    <w:p>
      <w:pPr>
        <w:spacing w:before="20" w:after="20"/>
        <w:ind w:left="170"/>
      </w:pPr>
      <w:r>
        <w:rPr>
          <w:rFonts w:ascii="Calibri" w:hAnsi="Calibri"/>
          <w:b/>
          <w:color w:val="4A6B25"/>
          <w:sz w:val="15"/>
        </w:rPr>
        <w:t xml:space="preserve">2. </w:t>
      </w:r>
      <w:r>
        <w:rPr>
          <w:rFonts w:ascii="Calibri" w:hAnsi="Calibri"/>
          <w:b w:val="0"/>
          <w:color w:val="3A4A28"/>
          <w:sz w:val="17"/>
        </w:rPr>
        <w:t>Iovance Pipeline and Leadership — Amtagvi First Approved TIL Therapy, Pipeline Across 5 Tumor Types, 40% Endometrial Response Rate, Interim CEO Frederick Vogt, Boehringer Ingelheim Collaboration — BioSpace, Yahoo Finance, BuiltIn, 2025-2026</w:t>
      </w:r>
    </w:p>
    <w:p>
      <w:pPr>
        <w:spacing w:before="20" w:after="20"/>
        <w:ind w:left="170"/>
      </w:pPr>
      <w:r>
        <w:rPr>
          <w:rFonts w:ascii="Calibri" w:hAnsi="Calibri"/>
          <w:b/>
          <w:color w:val="4A6B25"/>
          <w:sz w:val="15"/>
        </w:rPr>
        <w:t xml:space="preserve">3. </w:t>
      </w:r>
      <w:r>
        <w:rPr>
          <w:rFonts w:ascii="Calibri" w:hAnsi="Calibri"/>
          <w:b w:val="0"/>
          <w:color w:val="3A4A28"/>
          <w:sz w:val="17"/>
        </w:rPr>
        <w:t>Iovance ESG and Governance — Board ESG Commitment, Standard Risk Disclosures, Low Third-Party ESG Scores — SEC DEF 14A FY2026, SEVVA, MarketBeat,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