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IPSC</w:t>
      </w:r>
      <w:r>
        <w:rPr>
          <w:rFonts w:ascii="Calibri" w:hAnsi="Calibri"/>
          <w:b/>
          <w:color w:val="1A2010"/>
          <w:sz w:val="40"/>
        </w:rPr>
        <w:t xml:space="preserve">  Century Therapeutics, Inc.</w:t>
      </w:r>
    </w:p>
    <w:p>
      <w:pPr>
        <w:spacing w:after="120"/>
      </w:pPr>
      <w:r>
        <w:rPr>
          <w:rFonts w:ascii="Calibri" w:hAnsi="Calibri"/>
          <w:b/>
          <w:color w:val="6E8450"/>
          <w:sz w:val="18"/>
        </w:rPr>
        <w:t>GROWTH SLEEVE · 2026-09-13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Century Therapeutics is a clinical-stage biotechnology company developing induced pluripotent stem cell (iPSC)-derived cell therapies for cancer and autoimmune diseases. The company's proprietary Allo-Evasion platform enables creation of allogeneic (off-the-shelf) cell therapies designed to evade immune rejection. Key pipeline programs include CNTY-813 (iPSC-derived islet therapy for type 1 diabetes, IND targeted Q4 2026) and CNTY-308 (CD19-targeted CAR-iT cell therapy, entering clinic 2026). Q2 2026 net loss was $34.6M with $217M cash as of Q1, providing runway into Q1 2029. Founded in 2018, headquartered in Philadelphia, Pennsylvania.</w:t>
      </w:r>
    </w:p>
    <w:p>
      <w:r>
        <w:rPr>
          <w:rFonts w:ascii="Calibri" w:hAnsi="Calibri"/>
          <w:b/>
          <w:color w:val="6E8450"/>
          <w:sz w:val="18"/>
        </w:rPr>
        <w:t>78 Employees · https://www.centurytx.com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Century's iPSC-derived cell therapy platform with Allo-Evasion 5.0 technology represents genuinely novel science — engineering universal donor cells that evade immune rejection — but no products have reached the market or generated clinical proof-of-concept data [1]. The pivot from oncology-first to include type 1 diabetes represents strategic adaptation but not a proven transformation. AI Deployment (0/2): No AI-powered products, AI-driven drug discovery, or quantified AI efficiency gains have been reported. Century's innovation lies in stem cell biology, not AI. Market Share (0/2): As a pre-clinical/early clinical stage company with no approved products, Century has zero market share. The iPSC cell therapy field is competitive with larger players (Fate Therapeutics, Allogene, CRISPR Therapeutics) [2]. Product Pipeline (1/2): CNTY-813 (type 1 diabetes iPSC islet therapy) remains on track for IND submission in Q4 2026, with Phase 1 manufacturing demonstrating consistent product quality across independent batches and initial clinical data expected 2H 2027 [1]. CNTY-308 (CD19 CAR-iT) is on track to enter clinic in 2026 [1]. These are named programs with specific timelines, though both are very early stage. R&amp;D Intensity (1/1): Quarterly R&amp;D spending of approximately $25-30M on no product revenue represents extreme R&amp;D intensity appropriate for a platform-stage biotech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Century's stated purpose — harnessing adult stem cells to develop curative cell therapy products for cancer and autoimmune diseases — is clear and identifies both the technology and the aspiration (curative, not palliative). However, it is interchangeable with any cell therapy company's mission and does not articulate a distinctive vision differentiating Century from iPSC competitors [2]. Community Impact (0/2): As a 78-person pre-commercial biotech, Century lacks the scale for meaningful community investment. No charitable giving or social impact programs were identified. Employee Retention (0/2): CEO Brent Pfeiffenberger was appointed December 2023, CFO Morgan Conn in October 2024, and CSO Chad Cowan (CRISPR Therapeutics co-founder) in October 2024 — nearly the entire C-suite has turned over within 18 months [2]. This level of leadership instability in a 78-person company is a significant cultural red flag suggesting internal challenges during the prior regime. Insider Buying (0/2): The January 2026 $135M oversubscribed private placement was led by institutional investors (TCGX, RA Capital, Commodore Capital, T1D Fund), not insider buying [3]. A June 2026 insider sale of 1,654 shares was a non-discretionary tax-driven transaction.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 most valuation and profitability metrics are inapplicable for a pre-revenue clinical-stage biotech. Q2 2026 net loss was $34.6M, slightly wider than Q2 2025's $32.5M loss, reflecting continued cash consumption without product revenue [1]. Q1 2026 cash of $217M provides runway into Q1 2029 after the $135M private placement [3]. Quarterly cash burn has been reduced from $35M to approximately $20M through management discipline [3]. D/E is near zero as the company is primarily equity-financed. However, profit margin is deeply negative (no revenue offsets R&amp;D spending), ROE is negative, and forward P/E is meaningless for a pre-revenue company. The stock trades at approximately $2.12 with a $388M market cap, down 90% from the $21 IPO price in 2021 [4]. FY2025 collaboration revenue of $109M was driven by lumpy partnership deal timing, not recurring commercial revenue. Liquidity floor: ~1.1M shares daily at ~$2.12 = ~$2.3M daily dollar volume, above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Century Therapeutics is a five-year-old pre-commercial biotech that has experienced near-complete C-suite turnover (CEO, CFO, CSO all replaced within 18 months), a 90% stock price decline from IPO, and organizational restructuring. While the iPSC platform is scientifically promising and the new leadership team brings deep cell therapy expertise (Pfeiffenberger from AstraZeneca/Neogene, Cowan co-founded CRISPR Therapeutics), the company lacks the institutional history, cultural stability, and strategic consistency that characterize infinite game players. Sinek would view Century as a company in survival mode — focused on reaching the next IND filing and clinical milestone rather than pursuing an enduring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curative cell therapies for cancer and autoimmune diseases is a meaningful aspiration, and the CNTY-813 type 1 diabetes program — potentially replacing insulin therapy entirely — describes a future state that doesn't yet exist [1]. However, Century is only five years old with no clinical proof-of-concept. The near-total C-suite replacement suggests the cause is not yet deeply embedded in the organization, and the pivot from oncology-first to diabetes may reflect financial necessity more than cause-driven strategy.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replacement of CEO, CFO, and CSO within 18 months in a 78-person company represents severe organizational instability [2]. While the new team brings impressive credentials (Pfeiffenberger from AstraZeneca, Cowan from CRISPR Therapeutics), complete leadership turnover destroys institutional trust and forces rebuilding from scratch. No evidence of employee empowerment, tenure data, or cultural practices creating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Century's leadership discussing competitors (Fate Therapeutics, Allogene, CRISPR Therapeutics) in Sinek's worthy rival framework. The cell therapy space is fiercely competitive, and Century's language focuses on technology differentiation (Allo-Evasion platform)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Century is too young (five years) and too early-stage (no approved products) to have faced a meaningful existential flexibility test. The broadening from oncology to autoimmune disease (type 1 diabetes) shows some strategic flexibility, but this occurred under new leadership before original programs generated clinical data — it reads as a pivot from necessity rather than existential flexibility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Pfeiffenberger has executed strategic deals and raised $135M in an oversubscribed private placement, and management has reduced quarterly cash burn from $35M to ~$20M [3]. However, these are survival actions for a pre-revenue biotech, not courageous long-term bets. No examples of sacrificing near-term results for long-term capability were identified — the company's primary challenge is reaching clinical milestones before cash runs 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Century Therapeutics is a platform-stage biotech with genuinely novel iPSC technology (Allo-Evasion 5.0) and two advancing programs: CNTY-813 (type 1 diabetes curative islet therapy, IND Q4 2026 with Phase 1 manufacturing validated) and CNTY-308 (CD19 CAR-iT, entering clinic 2026) [1]. The January 2026 $135M oversubscribed private placement led by TCGX, RA Capital, and the T1D Fund signals institutional confidence in the type 1 diabetes opportunity. Cash of $217M provides runway into Q1 2029, and management has reduced quarterly burn from $35M to ~$20M, demonstrating capital discipline [3]. The analyst consensus price target of $4.75 implies 124% upside from $2.12, and CSO Chad Cowan (CRISPR Therapeutics co-founder) brings world-class cell therapy scientific leadership [2].</w:t>
      </w:r>
    </w:p>
    <w:p>
      <w:pPr>
        <w:spacing w:after="120"/>
      </w:pPr>
      <w:r>
        <w:rPr>
          <w:rFonts w:ascii="Calibri" w:hAnsi="Calibri"/>
          <w:b w:val="0"/>
          <w:color w:val="3A4A28"/>
          <w:sz w:val="20"/>
        </w:rPr>
        <w:t>The bear case is substantial for this speculative pre-revenue biotech. The stock has lost 90% of its value since the 2021 IPO ($21 to $2.12), destroying shareholder value over five years with no approved products and no clinical proof-of-concept [4]. Q2 2026 net loss of $34.6M continues the cash consumption pattern without revenue offset [1]. Near-complete C-suite turnover (CEO, CFO, CSO all replaced within 18 months) signals organizational instability in a 78-person company [2]. Both pipeline programs are very early stage — CNTY-813's IND isn't filed yet, and initial clinical data won't arrive until 2H 2027, meaning 12-18 months of binary risk with zero revenue-generating products. The iPSC cell therapy space is crowded (Fate Therapeutics, Allogene, CRISPR Therapeutics, larger pharma entrants) with no clear winner. The $388M market cap on a pre-revenue company depends entirely on pipeline optionality, and a Phase 1 clinical failure could reduce the stock toward zero. The Inspire Impact Score of 25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CNTY-813 type 1 diabetes IND filing expected Q4 2026, with Phase 1 manufacturing validated across independent batches and initial clinical data in 2H 2027 that could transform the company's risk profile [1]</w:t>
      </w:r>
    </w:p>
    <w:p>
      <w:pPr>
        <w:spacing w:before="40" w:after="40"/>
        <w:ind w:left="283"/>
      </w:pPr>
      <w:r>
        <w:rPr>
          <w:rFonts w:ascii="Calibri" w:hAnsi="Calibri"/>
          <w:b/>
          <w:color w:val="4A6B25"/>
          <w:sz w:val="20"/>
        </w:rPr>
        <w:t xml:space="preserve">2. </w:t>
      </w:r>
      <w:r>
        <w:rPr>
          <w:rFonts w:ascii="Calibri" w:hAnsi="Calibri"/>
          <w:b w:val="0"/>
          <w:color w:val="3A4A28"/>
          <w:sz w:val="20"/>
        </w:rPr>
        <w:t>CNTY-308 CD19 CAR-iT cell therapy advancing into clinic in 2026, providing a second clinical-stage program to derisk the iPSC platform and demonstrate Allo-Evasion technology in patients [1]</w:t>
      </w:r>
    </w:p>
    <w:p>
      <w:pPr>
        <w:spacing w:before="40" w:after="40"/>
        <w:ind w:left="283"/>
      </w:pPr>
      <w:r>
        <w:rPr>
          <w:rFonts w:ascii="Calibri" w:hAnsi="Calibri"/>
          <w:b/>
          <w:color w:val="4A6B25"/>
          <w:sz w:val="20"/>
        </w:rPr>
        <w:t xml:space="preserve">3. </w:t>
      </w:r>
      <w:r>
        <w:rPr>
          <w:rFonts w:ascii="Calibri" w:hAnsi="Calibri"/>
          <w:b w:val="0"/>
          <w:color w:val="3A4A28"/>
          <w:sz w:val="20"/>
        </w:rPr>
        <w:t>Additional partnership deals leveraging the Allo-Evasion 5.0 platform could generate collaboration revenue and validate the technology's commercial appeal beyond the 2025 deals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No approved products and 90% decline from IPO price ($21 to $2.12) reflect five years of shareholder value destruction with no clinical proof-of-concept generated for any program [4]</w:t>
      </w:r>
    </w:p>
    <w:p>
      <w:pPr>
        <w:spacing w:before="40" w:after="40"/>
        <w:ind w:left="283"/>
      </w:pPr>
      <w:r>
        <w:rPr>
          <w:rFonts w:ascii="Calibri" w:hAnsi="Calibri"/>
          <w:b/>
          <w:color w:val="4A6B25"/>
          <w:sz w:val="20"/>
        </w:rPr>
        <w:t xml:space="preserve">2. </w:t>
      </w:r>
      <w:r>
        <w:rPr>
          <w:rFonts w:ascii="Calibri" w:hAnsi="Calibri"/>
          <w:b w:val="0"/>
          <w:color w:val="3A4A28"/>
          <w:sz w:val="20"/>
        </w:rPr>
        <w:t>Pre-IND stage programs (CNTY-813, CNTY-308) face multi-year clinical development timelines with high binary risk — a Phase 1 failure could reduce the stock to near-zero given no revenue-generating products [1]</w:t>
      </w:r>
    </w:p>
    <w:p>
      <w:pPr>
        <w:spacing w:before="40" w:after="40"/>
        <w:ind w:left="283"/>
      </w:pPr>
      <w:r>
        <w:rPr>
          <w:rFonts w:ascii="Calibri" w:hAnsi="Calibri"/>
          <w:b/>
          <w:color w:val="4A6B25"/>
          <w:sz w:val="20"/>
        </w:rPr>
        <w:t xml:space="preserve">3. </w:t>
      </w:r>
      <w:r>
        <w:rPr>
          <w:rFonts w:ascii="Calibri" w:hAnsi="Calibri"/>
          <w:b w:val="0"/>
          <w:color w:val="3A4A28"/>
          <w:sz w:val="20"/>
        </w:rPr>
        <w:t>Q2 2026 net loss of $34.6M continues cash consumption at ~$20M/quarter, and while runway extends to Q1 2029, additional dilutive financing may be needed if programs experience delays or the company pursues expansion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Cell therapy development requires physical manufacturing of living cells from iPSC differentiation, GMP production, clinical trial execution with physical patient delivery, and FDA regulatory approval — none of which AI can substitute [2]. Century's Allo-Evasion platform involves complex biological engineering (stem cell programming, immune evasion, cell differentiation) that depends on laboratory expertise and physical processes. The regulated nature of cell therapy (BLA approval, manufacturing certification, cold chain logistics) creates structural barriers to AI disruption. However, AI-powered drug discovery could enable competitors to more efficiently identify better cell engineering approaches, and larger pharma companies with AI capabilities could accelerate their own cell therapy programs, potentially outpacing Century's resource-constrained development. AI Opportunity (0/1): Century does not generate revenue from AI products or services. No AI-related commercial activity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Century Therapeutics Q1 and Q2 2026 Financial Results — Q2 Net Loss $34.6M, CNTY-813 IND On Track Q4 2026, CNTY-308 Entering Clinic, BioSpace, Incyte Investor Relations, 2026</w:t>
      </w:r>
    </w:p>
    <w:p>
      <w:pPr>
        <w:spacing w:before="20" w:after="20"/>
        <w:ind w:left="170"/>
      </w:pPr>
      <w:r>
        <w:rPr>
          <w:rFonts w:ascii="Calibri" w:hAnsi="Calibri"/>
          <w:b/>
          <w:color w:val="4A6B25"/>
          <w:sz w:val="15"/>
        </w:rPr>
        <w:t xml:space="preserve">2. </w:t>
      </w:r>
      <w:r>
        <w:rPr>
          <w:rFonts w:ascii="Calibri" w:hAnsi="Calibri"/>
          <w:b w:val="0"/>
          <w:color w:val="3A4A28"/>
          <w:sz w:val="17"/>
        </w:rPr>
        <w:t>Century Therapeutics Leadership — CEO Brent Pfeiffenberger (ex-AstraZeneca/Neogene), CSO Chad Cowan (CRISPR Therapeutics Co-Founder), CFO Morgan Conn — BioPharma Dive, uCity Square, 2023-2024</w:t>
      </w:r>
    </w:p>
    <w:p>
      <w:pPr>
        <w:spacing w:before="20" w:after="20"/>
        <w:ind w:left="170"/>
      </w:pPr>
      <w:r>
        <w:rPr>
          <w:rFonts w:ascii="Calibri" w:hAnsi="Calibri"/>
          <w:b/>
          <w:color w:val="4A6B25"/>
          <w:sz w:val="15"/>
        </w:rPr>
        <w:t xml:space="preserve">3. </w:t>
      </w:r>
      <w:r>
        <w:rPr>
          <w:rFonts w:ascii="Calibri" w:hAnsi="Calibri"/>
          <w:b w:val="0"/>
          <w:color w:val="3A4A28"/>
          <w:sz w:val="17"/>
        </w:rPr>
        <w:t>Century Therapeutics $135M Oversubscribed Private Placement — TCGX, RA Capital, T1D Fund, Cash Runway to Q1 2029, Piper Sandler Analysis — BusinessWire, Yahoo Finance, January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Investing.com — IPSC Market Cap $388M, Stock Price $2.12, 90% Decline from $21 IPO,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