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IP</w:t>
      </w:r>
      <w:r>
        <w:rPr>
          <w:rFonts w:ascii="Calibri" w:hAnsi="Calibri"/>
          <w:b/>
          <w:color w:val="1A2010"/>
          <w:sz w:val="40"/>
        </w:rPr>
        <w:t xml:space="preserve">  International Paper Company</w:t>
      </w:r>
    </w:p>
    <w:p>
      <w:pPr>
        <w:spacing w:after="120"/>
      </w:pPr>
      <w:r>
        <w:rPr>
          <w:rFonts w:ascii="Calibri" w:hAnsi="Calibri"/>
          <w:b/>
          <w:color w:val="6E8450"/>
          <w:sz w:val="18"/>
        </w:rPr>
        <w:t>DIVIDEND SLEEVE · 2026-10-15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Packaging &amp; Containers · NYSE · United States</w:t>
      </w:r>
    </w:p>
    <w:p>
      <w:pPr>
        <w:spacing w:after="80"/>
      </w:pPr>
      <w:r>
        <w:rPr>
          <w:rFonts w:ascii="Calibri" w:hAnsi="Calibri"/>
          <w:b w:val="0"/>
          <w:color w:val="3A4A28"/>
          <w:sz w:val="20"/>
        </w:rPr>
        <w:t>International Paper Company is the world's largest packaging company by revenue following its 2025 acquisition of DS Smith, manufacturing corrugated packaging, containerboard, and pulp products across operations in North America, Europe, and globally. Founded in 1898 and headquartered in Memphis, Tennessee, the company reported FY2025 revenue of approximately $23.6B (up 49.3% YoY reflecting the DS Smith acquisition) and Q2 2026 revenue of $6.0B. The company is undergoing a CEO transition from Mark Sutton to Andrew Silvernail, who joined from KKR, while integrating DS Smith and working through acquisition-related charges that have driven GAAP profit margin to -14.2% [1][2][4].</w:t>
      </w:r>
    </w:p>
    <w:p>
      <w:r>
        <w:rPr>
          <w:rFonts w:ascii="Calibri" w:hAnsi="Calibri"/>
          <w:b/>
          <w:color w:val="6E8450"/>
          <w:sz w:val="18"/>
        </w:rPr>
        <w:t>65,000 Employees · https://www.internationalpaper.com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DS Smith acquisition in 2025 was a significant strategic move that made IP the world's largest packaging company, but this represents M&amp;A-driven consolidation rather than product innovation or business model transformation [2][4]. Over the past decade, IP divested printing papers, forestry, and other businesses to focus on packaging — a portfolio simplification rather than a creative pivot. AI Deployment (0/2): No AI deployment or strategy evident. Former CEO John Faraci explicitly stated 'We don't live and die by innovation,' and no AI-powered products, customer-facing AI tools, or quantified AI-driven operational savings have been disclosed [4]. Market Share (2/2): International Paper is the world's largest packaging company by revenue following the DS Smith acquisition, with approximately $24B in combined revenue and dominant positions in North American corrugated packaging and European containerboard markets [2][3]. Product Pipeline (0/2): No specific next-generation products with defined timelines; the company's focus is on DS Smith integration, cost synergies, and operational efficiency rather than new product development. R&amp;D Intensity (0/1): Paper and packaging is a low-R&amp;D-intensity industry, and IP does not invest at levels above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IP's stated values of 'safety, ethics and excellence' are generic boilerplate interchangeable with any industrial company — there is no distinctive mission or vision statement articulating a deeper purpose beyond operational quality and shareholder returns [4]. The company describes a 'performance-driven customer-centric culture' but this reads as standard corporate language rather than a genuine cause that inspires beyond the transactional. Community &amp; Charitable Impact (1/2): IP has engaged in community programs and forestry stewardship initiatives over its 125+ year history, including partnerships with environmental groups and sustainable forestry certifications. However, no specific foundation programs, dollar amounts for charitable giving, or distinctive community investment were found in current materials [5]. Employee Retention &amp; Tenure (0/2): No employee retention data, tenure statistics, or culture information publicly available. The CEO transition from long-tenured Mark Sutton to Andrew Silvernail (from private equity firm KKR) raises questions about cultural continuity, as KKR leadership often signals financial optimization rather than mission-driven management.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with available metrics, noting significant distortion from DS Smith acquisition accounting. D/E of 68.5% is just below the 70% target (score 1.0), reflecting disciplined post-acquisition leverage management [1]. Forward P/E of 10.9 is attractively below the 20 target (score 1.0), indicating the market expects earnings normalization from current depressed levels. Revenue growth of -2.2% YoY scores 0.59 as the post-acquisition base creates unfavorable comparisons, while Q2 2026 revenue of $6.0B shows stabilization [2]. ROE of -16.5% and profit margin of -14.2% both score 0, but these are heavily distorted by one-time DS Smith acquisition charges, restructuring costs, and purchase accounting amortization — adjusted EBITDA guidance of $3.2-$3.5B suggests underlying operating profitability [1][2]. Consecutive years of dividend payments estimated at 25+ (score 1.0, 2x weight), reflecting IP's long history of capital returns. Daily dollar volume of $164.8M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International Paper operates with a predominantly finite mindset oriented toward financial optimization, cost synergies, and shareholder returns rather than an enduring cause. The CEO transition from long-tenured Mark Sutton to KKR-backed Andrew Silvernail signals a financial engineering approach to value creation. Former CEO John Faraci's statement that 'We don't live and die by innovation' captures the company's pragmatic, quarter-focused orientation. The 125-year corporate history provides institutional resilience but not the kind of purpose-driven endurance Sinek values.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IP's stated values of 'safety, ethics and excellence' and its 'performance-driven customer-centric culture' describe how the company operates rather than a vision of a future state worth sacrificing for [4]. The company exists to make packaging products and generate returns — a legitimate business but not a Just Cause in Sinek's framework. The 125-year history demonstrates institutional resilience, but longevity alone is not a Just Cause without an articulated purpose that shapes strategic decisions beyond financial optimization.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CEO transition from long-tenured Mark Sutton to Andrew Silvernail from KKR (a private equity firm known for financial optimization) raises concerns about organizational trust and cultural continuity [4]. Private equity-linked leadership transitions often prioritize cost reduction and financial engineering over employee empowerment and psychological safety. The DS Smith integration involves combining two large organizations with different cultures, creating potential uncertainty for employees. No specific employee culture data, retention metrics, or satisfaction surveys were found to counter these structural concerns.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IP competes with WestRock (now Smurfit WestRock), Packaging Corporation of America, and other containerboard producers, but management commentary focuses on market share, cost synergies from DS Smith, and financial metrics rather than learning from competitors' strengths or using rivalry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Over the past decade, IP has fundamentally simplified its portfolio from a diversified paper, forest products, and packaging conglomerate to a focused global corrugated packaging company — divesting printing papers (2021, spinoff of Sylvamo), forestry assets, and other businesses to concentrate on the highest-growth segment [3][4]. The DS Smith acquisition in 2025 represents further commitment to this strategic direction. These changes were incremental portfolio adjustments rather than a transformative reinvention driven by a Just Cause, but they demonstrate willingness to abandon legacy businesses in favor of a more focused strategy.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DS Smith acquisition required significant capital commitment and integration risk, representing a bold bet on global corrugated packaging consolidation that will require years of execution to validate [2][4]. CEO Sutton's decision to divest IP's printing papers business (Sylvamo) in 2021 — walking away from a legacy business line that was declining but still generating cash flow — showed willingness to prioritize long-term strategic positioning over short-term earnings. However, these are standard corporate portfolio management decisions rather than the kind of mission-driven sacrifice Sinek celebrates.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International Paper at $33.38 with a $17.7B market cap is the world's largest packaging company following the transformative DS Smith acquisition in 2025, operating across corrugated packaging, containerboard, and pulp products globally. The stock trades at just 10.9x forward earnings — a compelling valuation for a company with dominant market share, essential products tied to e-commerce growth, and $3.2-3.5B adjusted EBITDA guidance [1][2]. D/E of 68.5% is well-managed for a company that just completed a major acquisition, dividend yield of approximately 5.5% provides meaningful income, and the combined IP/DS Smith platform creates significant cost synergy potential. Corrugated packaging demand is structurally supported by e-commerce penetration, sustainability-driven shifts from plastic to fiber-based packaging, and growing global supply chain complexity.</w:t>
      </w:r>
    </w:p>
    <w:p>
      <w:pPr>
        <w:spacing w:after="120"/>
      </w:pPr>
      <w:r>
        <w:rPr>
          <w:rFonts w:ascii="Calibri" w:hAnsi="Calibri"/>
          <w:b w:val="0"/>
          <w:color w:val="3A4A28"/>
          <w:sz w:val="20"/>
        </w:rPr>
        <w:t>The bear case centers on acquisition integration risk and deteriorating near-term profitability. GAAP profit margin of -14.2% and ROE of -16.5% reflect massive DS Smith acquisition charges, restructuring costs, and purchase accounting amortization that will take years to normalize [1]. Adjusted EBITDA guidance was revised down to $3.2-3.5B from $3.5-3.7B, suggesting integration synergies are materializing slower than expected, and Q2 2026 revenue of $6.0B showed modest organic decline [2]. The CEO transition from Mark Sutton (who architected the DS Smith deal) to Andrew Silvernail (from KKR) mid-integration introduces execution risk — leadership changes during major integrations historically correlate with weaker outcomes. The packaging industry is cyclical and tied to industrial production and consumer spending; a recession could simultaneously compress volumes, pricing, and margins while IP carries integration costs. Environmental groups (Dogwood Alliance) have criticized IP's forestry practices and sustainability claims as greenwashing, and Sustainalytics assigns a 'Medium' ESG risk rating (22.2), creating potential regulatory and reputational headwinds [5]. The dividend yield of 5.5% looks attractive but may be unsustainable given negative GAAP earnings, raising the risk of a dividend cut if profitability normalization takes longer than expected.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DS Smith integration synergies — the combined platform targets significant cost savings from overlapping operations, procurement efficiencies, and network optimization that could drive margin expansion as one-time charges roll off over 2026-2028 [2]</w:t>
      </w:r>
    </w:p>
    <w:p>
      <w:pPr>
        <w:spacing w:before="40" w:after="40"/>
        <w:ind w:left="283"/>
      </w:pPr>
      <w:r>
        <w:rPr>
          <w:rFonts w:ascii="Calibri" w:hAnsi="Calibri"/>
          <w:b/>
          <w:color w:val="4A6B25"/>
          <w:sz w:val="20"/>
        </w:rPr>
        <w:t xml:space="preserve">2. </w:t>
      </w:r>
      <w:r>
        <w:rPr>
          <w:rFonts w:ascii="Calibri" w:hAnsi="Calibri"/>
          <w:b w:val="0"/>
          <w:color w:val="3A4A28"/>
          <w:sz w:val="20"/>
        </w:rPr>
        <w:t>Structural corrugated packaging demand growth driven by e-commerce penetration (online retail requiring 30-40% more packaging per dollar of sales than brick-and-mortar), sustainability-driven plastic-to-fiber substitution, and emerging market consumption growth</w:t>
      </w:r>
    </w:p>
    <w:p>
      <w:pPr>
        <w:spacing w:before="40" w:after="40"/>
        <w:ind w:left="283"/>
      </w:pPr>
      <w:r>
        <w:rPr>
          <w:rFonts w:ascii="Calibri" w:hAnsi="Calibri"/>
          <w:b/>
          <w:color w:val="4A6B25"/>
          <w:sz w:val="20"/>
        </w:rPr>
        <w:t xml:space="preserve">3. </w:t>
      </w:r>
      <w:r>
        <w:rPr>
          <w:rFonts w:ascii="Calibri" w:hAnsi="Calibri"/>
          <w:b w:val="0"/>
          <w:color w:val="3A4A28"/>
          <w:sz w:val="20"/>
        </w:rPr>
        <w:t>Deeply discounted valuation at 10.9x forward P/E with 5.5% dividend yield offers significant re-rating potential if GAAP earnings normalize to reflect underlying $3.2-3.5B adjusted EBITDA, implying normalized EPS of $2.50-$3.00+ versus the current depressed level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DS Smith integration execution risk — EBITDA guidance revision from $3.5-3.7B down to $3.2-3.5B signals synergies are slower to materialize; CEO transition mid-integration from deal architect Sutton to KKR-linked Silvernail adds leadership discontinuity risk [2][4]</w:t>
      </w:r>
    </w:p>
    <w:p>
      <w:pPr>
        <w:spacing w:before="40" w:after="40"/>
        <w:ind w:left="283"/>
      </w:pPr>
      <w:r>
        <w:rPr>
          <w:rFonts w:ascii="Calibri" w:hAnsi="Calibri"/>
          <w:b/>
          <w:color w:val="4A6B25"/>
          <w:sz w:val="20"/>
        </w:rPr>
        <w:t xml:space="preserve">2. </w:t>
      </w:r>
      <w:r>
        <w:rPr>
          <w:rFonts w:ascii="Calibri" w:hAnsi="Calibri"/>
          <w:b w:val="0"/>
          <w:color w:val="3A4A28"/>
          <w:sz w:val="20"/>
        </w:rPr>
        <w:t>Cyclical exposure — corrugated packaging volumes are tied to industrial production and consumer spending; a recession could compress volumes 5-10% while the company carries fixed integration costs, pressuring cash flow and potentially forcing a dividend cut on the currently unsustainable 5.5% yield [1]</w:t>
      </w:r>
    </w:p>
    <w:p>
      <w:pPr>
        <w:spacing w:before="40" w:after="40"/>
        <w:ind w:left="283"/>
      </w:pPr>
      <w:r>
        <w:rPr>
          <w:rFonts w:ascii="Calibri" w:hAnsi="Calibri"/>
          <w:b/>
          <w:color w:val="4A6B25"/>
          <w:sz w:val="20"/>
        </w:rPr>
        <w:t xml:space="preserve">3. </w:t>
      </w:r>
      <w:r>
        <w:rPr>
          <w:rFonts w:ascii="Calibri" w:hAnsi="Calibri"/>
          <w:b w:val="0"/>
          <w:color w:val="3A4A28"/>
          <w:sz w:val="20"/>
        </w:rPr>
        <w:t>Negative GAAP profitability — profit margin of -14.2% and ROE of -16.5% reflect acquisition accounting but create real constraints on capital allocation flexibility, stock buyback capacity, and investor confidence until multi-quarter earnings normalization demonstrates the deal thesis is working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International Paper's core business of manufacturing corrugated packaging, containerboard, and pulp products is structurally immune to AI displacement — AI cannot replace physical boxes, paper products, or the massive industrial manufacturing infrastructure required to produce them [1]. The corrugated packaging market benefits from AI-driven tailwinds: e-commerce growth (driving more shipping boxes), AI data center construction (requiring packaging for equipment), and the physical nature of global supply chains. Regulatory requirements for food-safe packaging, environmental certifications, and forest management add additional moats that AI cannot bypass. Scoring IMMUNE because the business involves essential physical-world manufacturing infrastructure with no substitution path from AI. AI Opportunity (0/1): No AI-related revenue generated. IP has not disclosed any AI-powered products, services, or quantified operational efficiencies from AI deployment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Yahoo Finance — IP key statistics, stock price $33.38, D/E 68.5%, ROE -16.5%, profit margin -14.2%, Forward P/E 10.92, avg volume 4.9M, accessed October 2026</w:t>
      </w:r>
    </w:p>
    <w:p>
      <w:pPr>
        <w:spacing w:before="20" w:after="20"/>
        <w:ind w:left="170"/>
      </w:pPr>
      <w:r>
        <w:rPr>
          <w:rFonts w:ascii="Calibri" w:hAnsi="Calibri"/>
          <w:b/>
          <w:color w:val="4A6B25"/>
          <w:sz w:val="15"/>
        </w:rPr>
        <w:t xml:space="preserve">2. </w:t>
      </w:r>
      <w:r>
        <w:rPr>
          <w:rFonts w:ascii="Calibri" w:hAnsi="Calibri"/>
          <w:b w:val="0"/>
          <w:color w:val="3A4A28"/>
          <w:sz w:val="17"/>
        </w:rPr>
        <w:t>International Paper Q2 2026 Earnings — Revenue $6.00B, EPS $0.04, Adjusted EBITDA Guidance Revised Down to $3.2-$3.5B — Earnings Whispers/MarketBeat, July 2026</w:t>
      </w:r>
    </w:p>
    <w:p>
      <w:pPr>
        <w:spacing w:before="20" w:after="20"/>
        <w:ind w:left="170"/>
      </w:pPr>
      <w:r>
        <w:rPr>
          <w:rFonts w:ascii="Calibri" w:hAnsi="Calibri"/>
          <w:b/>
          <w:color w:val="4A6B25"/>
          <w:sz w:val="15"/>
        </w:rPr>
        <w:t xml:space="preserve">3. </w:t>
      </w:r>
      <w:r>
        <w:rPr>
          <w:rFonts w:ascii="Calibri" w:hAnsi="Calibri"/>
          <w:b w:val="0"/>
          <w:color w:val="3A4A28"/>
          <w:sz w:val="17"/>
        </w:rPr>
        <w:t>International Paper FY2025 Revenue $23.6B (+49.3% YoY Including DS Smith), Revenue Trend Data — OpenCapital/Motley Fool, 2025-2026</w:t>
      </w:r>
    </w:p>
    <w:p>
      <w:pPr>
        <w:spacing w:before="20" w:after="20"/>
        <w:ind w:left="170"/>
      </w:pPr>
      <w:r>
        <w:rPr>
          <w:rFonts w:ascii="Calibri" w:hAnsi="Calibri"/>
          <w:b/>
          <w:color w:val="4A6B25"/>
          <w:sz w:val="15"/>
        </w:rPr>
        <w:t xml:space="preserve">4. </w:t>
      </w:r>
      <w:r>
        <w:rPr>
          <w:rFonts w:ascii="Calibri" w:hAnsi="Calibri"/>
          <w:b w:val="0"/>
          <w:color w:val="3A4A28"/>
          <w:sz w:val="17"/>
        </w:rPr>
        <w:t>International Paper Leadership — CEO Andrew Silvernail (from KKR) Succeeding Mark Sutton, Culture Values 'Safety, Ethics, Excellence,' Former CEO Faraci 'We Don't Live and Die by Innovation' — Packaging Dive/Columbia Business School/Institutional Investor, 2025-2026</w:t>
      </w:r>
    </w:p>
    <w:p>
      <w:pPr>
        <w:spacing w:before="20" w:after="20"/>
        <w:ind w:left="170"/>
      </w:pPr>
      <w:r>
        <w:rPr>
          <w:rFonts w:ascii="Calibri" w:hAnsi="Calibri"/>
          <w:b/>
          <w:color w:val="4A6B25"/>
          <w:sz w:val="15"/>
        </w:rPr>
        <w:t xml:space="preserve">5. </w:t>
      </w:r>
      <w:r>
        <w:rPr>
          <w:rFonts w:ascii="Calibri" w:hAnsi="Calibri"/>
          <w:b w:val="0"/>
          <w:color w:val="3A4A28"/>
          <w:sz w:val="17"/>
        </w:rPr>
        <w:t>International Paper ESG — Sustainalytics Medium Risk Rating (22.2), Dogwood Alliance Forest Practice Criticism, GHG Emissions 35% Reduction Target by 2030, SEC Proxy ESG Disclosures — Sustainalytics/SEC/Dogwood Alliance, 2012-2026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