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IREN</w:t>
      </w:r>
      <w:r>
        <w:rPr>
          <w:rFonts w:ascii="Calibri" w:hAnsi="Calibri"/>
          <w:b/>
          <w:color w:val="1A2010"/>
          <w:sz w:val="40"/>
        </w:rPr>
        <w:t xml:space="preserve">  IREN Limited</w:t>
      </w:r>
    </w:p>
    <w:p>
      <w:pPr>
        <w:spacing w:after="120"/>
      </w:pPr>
      <w:r>
        <w:rPr>
          <w:rFonts w:ascii="Calibri" w:hAnsi="Calibri"/>
          <w:b/>
          <w:color w:val="6E8450"/>
          <w:sz w:val="18"/>
        </w:rPr>
        <w:t>GROWTH SLEEVE · 2026-10-05 · Inspire: 40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AI Cloud Infrastructure · NASDAQ · Australia</w:t>
      </w:r>
    </w:p>
    <w:p>
      <w:pPr>
        <w:spacing w:after="80"/>
      </w:pPr>
      <w:r>
        <w:rPr>
          <w:rFonts w:ascii="Calibri" w:hAnsi="Calibri"/>
          <w:b w:val="0"/>
          <w:color w:val="3A4A28"/>
          <w:sz w:val="20"/>
        </w:rPr>
        <w:t>IREN Limited (formerly Iris Energy) operates as a vertically integrated AI cloud services platform, owning and operating data centers, GPU/CPU compute infrastructure, and managed services software. The company completed its pivot from Bitcoin mining to AI infrastructure, with AI cloud revenue surpassing Bitcoin mining revenue for the first time in Q4 FY2026 ($70.5M vs $66.7M). Anchored by a $9.7B Microsoft cloud contract and an NVIDIA strategic partnership for up to 5GW of AI infrastructure, IREN targets $4B+ in annualized run-rate revenue.</w:t>
      </w:r>
    </w:p>
    <w:p>
      <w:r>
        <w:rPr>
          <w:rFonts w:ascii="Calibri" w:hAnsi="Calibri"/>
          <w:b/>
          <w:color w:val="6E8450"/>
          <w:sz w:val="18"/>
        </w:rPr>
        <w:t>685 Employees · https://iren.com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(3/3): IREN has executed one of the most decisive business model pivots in recent public markets — from a pure Bitcoin mining company to a vertically integrated AI cloud infrastructure platform [1][2]. Revenue grew from ~$34M (FY2022) to $707M TTM, the $9.7B Microsoft AI cloud contract generates $1.9B ARR at 85% EBITDA margins, and the NVIDIA partnership for 5GW of AI infrastructure cements the transformation. AI cloud revenue surpassed Bitcoin mining revenue for the first time in Q4 FY2026. AI Deployment (2/2): AI cloud services now drive the company's growth trajectory — $70.5M AI cloud revenue in Q4 FY2026, GPU fleet scaling to 150,000 units, and annualized run-rate revenue target exceeding $4B [1][3]. Multiple AI cloud customers secured including Microsoft, Together AI, Fluidstack, and Fireworks AI. Market Share (1/2): IREN is a fast-growing neocloud but remains sub-scale relative to CoreWeave (~$2.6B quarterly revenue) and Nebius (454% YoY growth); the NVIDIA partnership and 3GW secured power differentiate, but category leadership is not yet established [2]. Product Pipeline (2/2): Specific 150,000-GPU expansion roadmap with defined revenue targets, 3GW power portfolio with only 16% utilized, and $9.7B Microsoft contract provide exceptional forward visibility [1][3]. R&amp;D Intensity (0/1): Spend concentrated in physical infrastructure deployment rather than traditional R&amp;D.</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IREN's 'Proceed with Purpose' positioning and commitment to 100% renewable-energy-powered data centers differentiates in an energy-intensive industry, but the company has recast its core identity twice in five years (Bitcoin mining to AI infrastructure), which reads as strategically opportunistic rather than mission-driven [2][4]. Community Impact (0/2): No dedicated foundation, charitable programs, or community investment initiatives identified beyond operational renewable energy commitments. Employee Retention (1/2): Founder-led company with co-CEOs Daniel and William Roberts, 685 employees with VP of People, Culture &amp; Community, and headcount more than doubled since 2023 without reports of cultural dysfunction [2]. No exceptional retention data available. Insider Buying (0/2): Co-founders remain large shareholders but no specific recent open-market purchases were identified in research.</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growth-stock metrics during IREN's most capital-intensive phase. D/E of 187% scores 0.49 — elevated to $7.84B total debt (against $5.90B cash) as GPU and data center financing accelerates the AI buildout [5]. ROE of -23.4% scores 0.0, reflecting the transition-phase losses as massive infrastructure investment precedes revenue ramp [5]. Most recent quarter revenue growth of -26.7% YoY scores 0.0 — Q4 FY2026 revenue of $137.2M fell below consensus as Bitcoin mining revenue declined faster than AI cloud revenue grew, though AI cloud revenue doubled sequentially [1]. Revenue 5yr CAGR of approximately 115% (FY2022 $34M to FY2026 $707M) scores 1.0, capturing the explosive multi-year growth trajectory [5]. Profit margin of -99.4% and Forward PEG of 3.11 (at the scoring floor) both score 0.0, reflecting the pre-profit reality of building a $4B+ revenue platform. Liquidity floor easily cleared: 42.7M avg volume x $41.76 = $1.78B daily.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16A34A"/>
          <w:sz w:val="28"/>
        </w:rPr>
        <w:t>7</w:t>
      </w:r>
      <w:r>
        <w:rPr>
          <w:rFonts w:ascii="Calibri" w:hAnsi="Calibri"/>
          <w:b w:val="0"/>
          <w:color w:val="9DAF88"/>
          <w:sz w:val="18"/>
        </w:rPr>
        <w:t xml:space="preserve"> /10</w:t>
      </w:r>
    </w:p>
    <w:p>
      <w:pPr>
        <w:spacing w:after="120"/>
      </w:pPr>
      <w:r>
        <w:rPr>
          <w:rFonts w:ascii="Calibri" w:hAnsi="Calibri"/>
          <w:b w:val="0"/>
          <w:color w:val="3A4A28"/>
          <w:sz w:val="18"/>
        </w:rPr>
        <w:t>IREN demonstrates exceptional existential flexibility — the Bitcoin-to-AI pivot is among the most decisive strategic transformations in recent public markets, now validated by the $9.7B Microsoft contract and AI cloud revenue overtaking Bitcoin mining [1]. The founder-led structure provides continuity, and the NVIDIA partnership signals institutional validation. However, the Just Cause remains under-tested — the company's core narrative has shifted twice in five years, and the 'Proceed with Purpose' positioning has not weathered a full market cycle as an AI infrastructure pure play.</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IREN's vision of sustainable AI infrastructure combines genuine secular demand with renewable energy differentiation, but the company has recast its core identity twice — from Bitcoin mining to AI cloud — in five years, cutting against the durability Sinek requires of a true Just Cause [2][4]. The 100% renewable energy commitment differentiates from neocloud peers but is too recent to call a decades-validated purpose.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IREN has expanded from founder-only to a growing team of 685 with senior hires from Oracle, Google, and CyrusOne building out the AI cloud stack [2]. Headcount more than doubled since 2023 without reports of cultural dysfunction or destabilizing turnover. The co-CEO model (Daniel and William Roberts) provides leadership continuity, and the VP of People, Culture &amp; Community role signals organizational investment. However, the company is too young and fast-growing to demonstrate the long-tenure, high-trust evidence Sinek requires for a top score.</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IREN's public commentary frames CoreWeave, Nebius, and Lambda Labs' scale as validation of the AI infrastructure opportunity rather than threats to destroy, and co-founder Daniel Roberts emphasizes IREN's differentiated power access and renewable energy stance rather than competitor weaknesses [2]. The company partners with NVIDIA and distributes through cloud platforms rather than competing adversarially.</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IREN's transformation from Bitcoin mining to AI cloud infrastructure is a textbook existential pivot — the company fundamentally changed what it does, who it serves, and how it generates revenue [1][2]. Bitcoin mining revenue was profitable and growing, yet leadership chose to redirect capital toward AI infrastructure. AI cloud revenue surpassing Bitcoin mining in Q4 FY2026 ($70.5M vs $66.7M) marks the completion of the identity shift. Sinek would recognize this alongside Apple's Mac-to-iPhone transition.</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IREN committed to a massive infrastructure buildout — $7.84B in debt financing, 150,000 GPU deployment, 3GW power portfolio — while the company was still unprofitable and its identity as a Bitcoin miner was still generating cash [1][2]. The pivot required walking away from profitable mining operations to invest in AI infrastructure with uncertain payoff timelines. The $9.7B Microsoft contract validates the bet retrospectively, but the decision to pivot was made before that anchor was secured. This is a pattern of choosing long-term capability over short-term earnings.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IREN has completed its transformative pivot from Bitcoin mining to AI cloud infrastructure, with AI cloud revenue surpassing Bitcoin mining for the first time in Q4 FY2026 ($70.5M vs $66.7M) [1]. The $9.7B Microsoft AI cloud contract generating $1.9B ARR at 85% EBITDA margins, the NVIDIA strategic partnership for 5GW of AI infrastructure, and 150,000-GPU deployment roadmap provide exceptional forward visibility with annualized run-rate revenue targeting $4B+ [1][3]. Revenue grew from $34M (FY2022) to $707M TTM, demonstrating a 5yr CAGR of ~115%. The 100% renewable energy commitment and 3GW secured power portfolio (only 16% utilized) differentiate IREN from neocloud peers and provide massive expansion optionality. Inspire Impact Score of +40 (ALIGNED) and no negative attributions make this investable for faith-based portfolios.</w:t>
      </w:r>
    </w:p>
    <w:p>
      <w:pPr>
        <w:spacing w:after="120"/>
      </w:pPr>
      <w:r>
        <w:rPr>
          <w:rFonts w:ascii="Calibri" w:hAnsi="Calibri"/>
          <w:b w:val="0"/>
          <w:color w:val="3A4A28"/>
          <w:sz w:val="20"/>
        </w:rPr>
        <w:t>The bear case is balance-sheet stress during the most capital-intensive phase of the AI infrastructure buildout. D/E of 187% with $7.84B debt and -$4.22B free cash flow reflects a company spending far ahead of revenue — ROE of -23.4%, profit margin of -99.4%, and operating margin of -102.5% show the infrastructure investment has not yet translated into profitability [5]. Q4 FY2026 revenue of $137.2M missed consensus and fell 26.7% YoY as Bitcoin mining revenue declined faster than AI cloud ramped, demonstrating the execution risk inherent in the transition [1]. IREN remains sub-scale versus CoreWeave and Nebius, and the stock has declined 46% from its $76.87 52-week high to $41.76, with a 4.27 beta amplifying any market downturn [5]. Consensus projects continued adjusted EPS losses through the near term, and the absence of a meaningful forward P/E anchor leaves valuation dependent on faith in the GPU deployment timeline and customer contract execution.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150,000 GPU deployment completion and AI cloud revenue ramping toward the $4B+ annualized run-rate target — with $9.7B Microsoft contract and NVIDIA partnership providing contractual revenue visibility at 85% EBITDA margins [1][3]</w:t>
      </w:r>
    </w:p>
    <w:p>
      <w:pPr>
        <w:spacing w:before="40" w:after="40"/>
        <w:ind w:left="283"/>
      </w:pPr>
      <w:r>
        <w:rPr>
          <w:rFonts w:ascii="Calibri" w:hAnsi="Calibri"/>
          <w:b/>
          <w:color w:val="4A6B25"/>
          <w:sz w:val="20"/>
        </w:rPr>
        <w:t xml:space="preserve">2. </w:t>
      </w:r>
      <w:r>
        <w:rPr>
          <w:rFonts w:ascii="Calibri" w:hAnsi="Calibri"/>
          <w:b w:val="0"/>
          <w:color w:val="3A4A28"/>
          <w:sz w:val="20"/>
        </w:rPr>
        <w:t>Additional hyperscaler or AI-lab contracts beyond Microsoft (Together AI, Fluidstack, Fireworks AI already signed) would diversify customer concentration and validate the full-stack AI cloud platform model [2]</w:t>
      </w:r>
    </w:p>
    <w:p>
      <w:pPr>
        <w:spacing w:before="40" w:after="40"/>
        <w:ind w:left="283"/>
      </w:pPr>
      <w:r>
        <w:rPr>
          <w:rFonts w:ascii="Calibri" w:hAnsi="Calibri"/>
          <w:b/>
          <w:color w:val="4A6B25"/>
          <w:sz w:val="20"/>
        </w:rPr>
        <w:t xml:space="preserve">3. </w:t>
      </w:r>
      <w:r>
        <w:rPr>
          <w:rFonts w:ascii="Calibri" w:hAnsi="Calibri"/>
          <w:b w:val="0"/>
          <w:color w:val="3A4A28"/>
          <w:sz w:val="20"/>
        </w:rPr>
        <w:t>3GW secured power portfolio with only 16% currently utilized provides massive expansion optionality — continued buildout with 100% renewable energy positioning could attract ESG-constrained AI customers as sustainability requirements tighten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Balance-sheet stress with D/E of 187%, -$4.22B free cash flow, and $7.84B total debt creates refinancing and dilution risk if AI cloud revenue growth decelerates before infrastructure investment generates returns [5]</w:t>
      </w:r>
    </w:p>
    <w:p>
      <w:pPr>
        <w:spacing w:before="40" w:after="40"/>
        <w:ind w:left="283"/>
      </w:pPr>
      <w:r>
        <w:rPr>
          <w:rFonts w:ascii="Calibri" w:hAnsi="Calibri"/>
          <w:b/>
          <w:color w:val="4A6B25"/>
          <w:sz w:val="20"/>
        </w:rPr>
        <w:t xml:space="preserve">2. </w:t>
      </w:r>
      <w:r>
        <w:rPr>
          <w:rFonts w:ascii="Calibri" w:hAnsi="Calibri"/>
          <w:b w:val="0"/>
          <w:color w:val="3A4A28"/>
          <w:sz w:val="20"/>
        </w:rPr>
        <w:t>Q4 FY2026 revenue miss ($137.2M vs consensus, -26.7% YoY) demonstrates the transition-phase execution risk — Bitcoin mining revenue declining while AI cloud is still ramping creates near-term revenue volatility that can compress the multiple [1]</w:t>
      </w:r>
    </w:p>
    <w:p>
      <w:pPr>
        <w:spacing w:before="40" w:after="40"/>
        <w:ind w:left="283"/>
      </w:pPr>
      <w:r>
        <w:rPr>
          <w:rFonts w:ascii="Calibri" w:hAnsi="Calibri"/>
          <w:b/>
          <w:color w:val="4A6B25"/>
          <w:sz w:val="20"/>
        </w:rPr>
        <w:t xml:space="preserve">3. </w:t>
      </w:r>
      <w:r>
        <w:rPr>
          <w:rFonts w:ascii="Calibri" w:hAnsi="Calibri"/>
          <w:b w:val="0"/>
          <w:color w:val="3A4A28"/>
          <w:sz w:val="20"/>
        </w:rPr>
        <w:t>Scale disadvantage versus CoreWeave and Nebius, both of which posted substantially larger quarterly revenue and/or faster growth, pressures IREN's ability to win the next wave of hyperscaler contracts after Microsoft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IREN IS AI infrastructure — the company owns and operates the physical data centers, 3GW power portfolio, and GPU compute clusters that AI workloads depend on, making it structurally immune to AI-driven substitution [1][2]. The $9.7B Microsoft contract and NVIDIA strategic partnership position IREN as a critical enabler of the AI buildout rather than a target of disruption. AI cannot replace the physical power, cooling, and GPU hardware that AI models require — AI increases demand for exactly what IREN provides. The only meaningful exposure is a broad slowdown in hyperscaler AI capex, which is competitive risk, not AI disruption risk. AI Opportunity (1/1): AI cloud is now the primary growth engine, with Q4 FY2026 AI cloud revenue of $70.5M surpassing Bitcoin mining revenue ($66.7M) for the first time, and run-rate revenue targeting $4B+ annually from AI cloud services [1][3].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40</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IREN FY2026 Annual Results and Q4 Report — Revenue $137.2M, AI Cloud $70.5M Surpasses Bitcoin Mining $66.7M, Full-Year Guidance, $9.7B Microsoft Contract — IREN IR, Tickeron, Yahoo Finance, August 2026</w:t>
      </w:r>
    </w:p>
    <w:p>
      <w:pPr>
        <w:spacing w:before="20" w:after="20"/>
        <w:ind w:left="170"/>
      </w:pPr>
      <w:r>
        <w:rPr>
          <w:rFonts w:ascii="Calibri" w:hAnsi="Calibri"/>
          <w:b/>
          <w:color w:val="4A6B25"/>
          <w:sz w:val="15"/>
        </w:rPr>
        <w:t xml:space="preserve">2. </w:t>
      </w:r>
      <w:r>
        <w:rPr>
          <w:rFonts w:ascii="Calibri" w:hAnsi="Calibri"/>
          <w:b w:val="0"/>
          <w:color w:val="3A4A28"/>
          <w:sz w:val="17"/>
        </w:rPr>
        <w:t>IREN AI Cloud Strategy — Co-founders Daniel and William Roberts, NVIDIA 5GW Partnership, 150,000 GPU Expansion, Senior Hires from Oracle/Google/CyrusOne — CoinDesk, Disruption Banking, 2025-2026</w:t>
      </w:r>
    </w:p>
    <w:p>
      <w:pPr>
        <w:spacing w:before="20" w:after="20"/>
        <w:ind w:left="170"/>
      </w:pPr>
      <w:r>
        <w:rPr>
          <w:rFonts w:ascii="Calibri" w:hAnsi="Calibri"/>
          <w:b/>
          <w:color w:val="4A6B25"/>
          <w:sz w:val="15"/>
        </w:rPr>
        <w:t xml:space="preserve">3. </w:t>
      </w:r>
      <w:r>
        <w:rPr>
          <w:rFonts w:ascii="Calibri" w:hAnsi="Calibri"/>
          <w:b w:val="0"/>
          <w:color w:val="3A4A28"/>
          <w:sz w:val="17"/>
        </w:rPr>
        <w:t>IREN Revenue Targets — $4B+ Annualized Run-Rate, $1.9B Microsoft ARR at 85% EBITDA Margins, Together AI/Fluidstack/Fireworks AI Contracts — Yahoo Finance, Intellectia, 2026</w:t>
      </w:r>
    </w:p>
    <w:p>
      <w:pPr>
        <w:spacing w:before="20" w:after="20"/>
        <w:ind w:left="170"/>
      </w:pPr>
      <w:r>
        <w:rPr>
          <w:rFonts w:ascii="Calibri" w:hAnsi="Calibri"/>
          <w:b/>
          <w:color w:val="4A6B25"/>
          <w:sz w:val="15"/>
        </w:rPr>
        <w:t xml:space="preserve">4. </w:t>
      </w:r>
      <w:r>
        <w:rPr>
          <w:rFonts w:ascii="Calibri" w:hAnsi="Calibri"/>
          <w:b w:val="0"/>
          <w:color w:val="3A4A28"/>
          <w:sz w:val="17"/>
        </w:rPr>
        <w:t>IREN Sustainability — 100% Renewable Energy Commitment, 'Proceed with Purpose' Positioning — IREN Corporate Website, SEC 20-F Filings, 2026</w:t>
      </w:r>
    </w:p>
    <w:p>
      <w:pPr>
        <w:spacing w:before="20" w:after="20"/>
        <w:ind w:left="170"/>
      </w:pPr>
      <w:r>
        <w:rPr>
          <w:rFonts w:ascii="Calibri" w:hAnsi="Calibri"/>
          <w:b/>
          <w:color w:val="4A6B25"/>
          <w:sz w:val="15"/>
        </w:rPr>
        <w:t xml:space="preserve">5. </w:t>
      </w:r>
      <w:r>
        <w:rPr>
          <w:rFonts w:ascii="Calibri" w:hAnsi="Calibri"/>
          <w:b w:val="0"/>
          <w:color w:val="3A4A28"/>
          <w:sz w:val="17"/>
        </w:rPr>
        <w:t>Yahoo Finance / StockAnalysis — IREN Key Statistics: D/E 187%, ROE -23.4%, Profit Margin -99.4%, Stock Price $41.76, Total Debt $7.84B, Cash $5.90B,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