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IRT</w:t>
      </w:r>
      <w:r>
        <w:rPr>
          <w:rFonts w:ascii="Calibri" w:hAnsi="Calibri"/>
          <w:b/>
          <w:color w:val="1A2010"/>
          <w:sz w:val="40"/>
        </w:rPr>
        <w:t xml:space="preserve">  Independence Realty Trust, Inc.</w:t>
      </w:r>
    </w:p>
    <w:p>
      <w:pPr>
        <w:spacing w:after="120"/>
      </w:pPr>
      <w:r>
        <w:rPr>
          <w:rFonts w:ascii="Calibri" w:hAnsi="Calibri"/>
          <w:b/>
          <w:color w:val="6E8450"/>
          <w:sz w:val="18"/>
        </w:rPr>
        <w:t>DIVIDEND SLEEVE · 2026-09-05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Independence Realty Trust, Inc. is a self-administered and self-managed real estate investment trust that owns, operates, and develops multifamily apartment communities primarily in non-gateway U.S. markets across the Sunbelt. The company focuses on workforce housing in high-growth metro areas including Atlanta, Dallas, Tampa, Denver, and Columbus. IRT's value-add renovation program targets older-vintage Class B apartments for unit upgrades generating 15%+ ROI. FY2025 revenue of $668.8M (+4.4% YoY) with Core FFO of $1.17/share; 2026 Core FFO guidance of $1.12-$1.16/share affirmed through Q2 2026 [1][2].</w:t>
      </w:r>
    </w:p>
    <w:p>
      <w:r>
        <w:rPr>
          <w:rFonts w:ascii="Calibri" w:hAnsi="Calibri"/>
          <w:b/>
          <w:color w:val="6E8450"/>
          <w:sz w:val="18"/>
        </w:rPr>
        <w:t>904 Employees · https://www.irtliving.com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IRT has executed a steady value-add renovation program, completing 2,003 unit upgrades in 2025 at 15.3% ROI and 426 in Q1 2026 at 15.4% ROI, generating above-market rent premiums on renovated units [1][2]. The 2022 merger with Steadfast Apartment REIT roughly doubled the portfolio, adding 12,000+ units. However, these are incremental extensions of the core apartment REIT model, not transformative pivots or new business lines. AI Deployment (0/2): No evidence of AI-powered products or quantified AI-driven operational improvements. IRT has not publicly discussed deploying artificial intelligence in leasing, property management, or maintenance operations [1]. Market Share (1/2): IRT is a meaningful mid-cap apartment REIT with approximately 35,000 units across 110+ communities in non-gateway Sunbelt markets, but is not a category leader -- significantly smaller than peers like MAA (100,000+ units) and NexPoint Residential [1]. Product Pipeline (1/2): The company has general visibility into its value-add pipeline with guidance for continued unit renovations in 2026, and development projects underway, but no specific next-generation products or timeline commitments [2]. R&amp;D Intensity (0/1): REITs do not conduct traditional R&amp;D. No technology or innovation spending is reported as a line item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IRT's purpose centers on providing quality, attainable housing in high-growth non-gateway markets. The company articulates a focus on creating value for residents through community improvements and renovated living spaces, which is clear and identifies whom they serve but does not articulate a transformative or deeply distinctive vision beyond the standard apartment REIT model [3]. Community Impact (0/2): No evidence of specific charitable programs, foundation activities, or quantified community investment beyond the inherent social benefit of providing workforce-oriented housing. Inspire Insight rates IRT positively on Product Access and Affordability, but no specific dollar amounts or programs were identified [4]. Employee Retention (1/2): CEO Scott Schaeffer has led IRT since 2013 (13+ year tenure), and the leadership team has been stable with consistent Board composition (8 of 10 nominees independent). However, no specific employee turnover data, tenure statistics, or mission-driven retention evidence was found for the 904-person workforce [3]. Insider Buying (0/2): No significant net insider buying identified in the last 12 months. The company repurchased 1.8 million shares for $29.9 million in Q1 2026, but this is corporate buyback activity, not individual insider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IRT benefits from a conservative balance sheet with D/E of 69.2% (just below the 70% target), no debt maturities until 2028 after a $350M unsecured term loan refinancing, and ample liquidity [1][2]. However, traditional earnings metrics are challenged by REIT accounting -- the 83.7x PE ratio and 340% payout ratio reflect heavy non-cash depreciation that suppresses GAAP earnings, while FFO-based metrics ($1.12-$1.16 CFFO/share guidance) are more representative. ROE of 1.38% is very low even for a REIT, and the 7.16% profit margin reflects the depreciation-heavy income statement. Revenue growth of 2.3% YoY is modest, driven by 1.4% same-store rental revenue growth in Q1 2026 [1]. The stock passes the liquidity floor at $46.3M daily dollar volume. D/E scores well, consecutive years of dividend payments are strong at 13 years, but high GAAP payout ratio and low profitability metrics drag the mechanical score down significantly.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Independence Realty Trust operates as a competent but finite-minded apartment REIT. CEO Scott Schaeffer's 13-year tenure provides leadership stability, and the value-add renovation strategy shows thoughtful capital allocation. However, the company lacks a compelling Just Cause beyond standard shareholder value creation, has not demonstrated transformative strategic flexibility, and competes primarily on operational metrics (occupancy, rent growth, renovation ROI) rather than a broader purpose. Sinek would see a well-managed company playing the finite game of quarterly FFO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IRT's purpose centers on providing quality housing in non-gateway markets, which is socially valuable but not articulated as a Just Cause in Sinek's framework. The company's investor communications focus on FFO growth, same-store NOI, and renovation ROI rather than a vision of a future state so appealing people would sacrifice to advance it [1][3]. The purpose is interchangeable with any apartment REIT -- there is nothing distinctive about IRT's articulation of why it exists beyond generating returns for shareholders through multifamily real estate.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IRT's strongest infinite-game signal -- CEO Schaeffer's 13+ year tenure and a Board with 8 of 10 independent directors suggests organizational stability [3]. The 904-person workforce operates across 110+ apartment communities, requiring meaningful trust and empowerment at the property level. However, no specific evidence of exceptional employee empowerment, cultural practices, or retention metrics distinguishes IRT from any competent mid-cap REIT. The 60.5% resident retention rate reflects adequate service delivery but is an operational metric, not an organizational trust indicator.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IRT's communications focus on its own operational metrics and market positioning without acknowledging competitors' strengths or framing competition as motivation to improve [1][2]. The company competes with larger peers like MAA and NexPoint primarily on occupancy rates, rent growth, and renovation returns -- standard finite metrics in the apartment REIT space.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merger with Steadfast Apartment REIT represented meaningful strategic adaptation -- approximately doubling IRT's portfolio from 15,000 to 30,000+ units and transforming the company's scale and geographic diversification [3]. The company has also evolved from a smaller externally-managed REIT to a self-administered, self-managed operator. These are meaningful shifts, but they are incremental extensions of the same business model (apartment REIT) rather than a transformative reinvention driven by a higher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IRT demonstrated some investment courage by pursuing the value-add renovation strategy, which requires significant upfront capital ($20K+ per unit) for returns that take 12-18 months to materialize [1]. The $29.9M share buyback in Q1 2026, while the stock trades at depressed levels (83x PE), shows willingness to invest in the company's value during uncertainty. However, no evidence of sacrificing short-term earnings for long-term capability or making strategically painful decisions in service of a larger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Independence Realty Trust offers a 4.12% dividend yield backed by a conservatively leveraged portfolio of 35,000+ apartment units in high-growth Sunbelt markets. The balance sheet is well-positioned with D/E of 69.2% and no debt maturities until 2028 following a $350M unsecured term loan refinancing [1][2]. CEO Schaeffer's 13-year tenure provides continuity, and the value-add renovation program continues to generate compelling 15%+ ROI on unit upgrades. Same-store NOI growth of 1.0% in Q1 2026 reflects stabilizing fundamentals as supply pressure recedes, with management projecting improved leasing rates in the second half of 2026 [1]. The company's 2026 CFFO guidance of $1.12-$1.16/share supports the current dividend level on an FFO basis despite the alarming 340% GAAP payout ratio.</w:t>
      </w:r>
    </w:p>
    <w:p>
      <w:pPr>
        <w:spacing w:after="120"/>
      </w:pPr>
      <w:r>
        <w:rPr>
          <w:rFonts w:ascii="Calibri" w:hAnsi="Calibri"/>
          <w:b w:val="0"/>
          <w:color w:val="3A4A28"/>
          <w:sz w:val="20"/>
        </w:rPr>
        <w:t>The primary concern is that IRT's GAAP metrics are deeply unfavorable -- a PE ratio of 83.7x, Forward PE of 98.5x, and 340% payout ratio reflect a company where GAAP earnings are crushed by depreciation and impairments, making it appear far less healthy than FFO-based analysis suggests [2]. ROE of just 1.38% is anemic even by REIT standards, and revenue growth of 2.3% offers little organic momentum. The apartment REIT sector faces secular headwinds from elevated supply deliveries in Sunbelt markets that have compressed rents and occupancy across the peer group. Furthermore, IRT has shown no evidence of proptech or AI adoption in leasing and operations, creating risk that more technologically advanced peers will achieve superior NOI margins. The stock's total return thesis depends entirely on dividend yield and multiple re-rating, with limited catalysts for organic growth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Supply peak: New apartment deliveries in Sunbelt markets expected to peak in mid-2026 and decline through 2027, which should relieve competitive pressure on occupancy and lease renewal rates across IRT's 35,000-unit portfolio</w:t>
      </w:r>
    </w:p>
    <w:p>
      <w:pPr>
        <w:spacing w:before="40" w:after="40"/>
        <w:ind w:left="283"/>
      </w:pPr>
      <w:r>
        <w:rPr>
          <w:rFonts w:ascii="Calibri" w:hAnsi="Calibri"/>
          <w:b/>
          <w:color w:val="4A6B25"/>
          <w:sz w:val="20"/>
        </w:rPr>
        <w:t xml:space="preserve">2. </w:t>
      </w:r>
      <w:r>
        <w:rPr>
          <w:rFonts w:ascii="Calibri" w:hAnsi="Calibri"/>
          <w:b w:val="0"/>
          <w:color w:val="3A4A28"/>
          <w:sz w:val="20"/>
        </w:rPr>
        <w:t>Value-add acceleration: Continued execution of unit renovation program at 15%+ ROI with potential to expand scope as management targets additional vintage units, driving incremental rent premiums of $150-200 per renovated unit</w:t>
      </w:r>
    </w:p>
    <w:p>
      <w:pPr>
        <w:spacing w:before="40" w:after="40"/>
        <w:ind w:left="283"/>
      </w:pPr>
      <w:r>
        <w:rPr>
          <w:rFonts w:ascii="Calibri" w:hAnsi="Calibri"/>
          <w:b/>
          <w:color w:val="4A6B25"/>
          <w:sz w:val="20"/>
        </w:rPr>
        <w:t xml:space="preserve">3. </w:t>
      </w:r>
      <w:r>
        <w:rPr>
          <w:rFonts w:ascii="Calibri" w:hAnsi="Calibri"/>
          <w:b w:val="0"/>
          <w:color w:val="3A4A28"/>
          <w:sz w:val="20"/>
        </w:rPr>
        <w:t>Balance sheet flexibility: With no debt maturities until 2028 and conservative leverage, IRT has capacity for opportunistic acquisitions if apartment REIT valuations remain depressed, potentially at attractive cap 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earnings quality is extremely poor -- 340% payout ratio, 83.7x PE, and 1.38% ROE raise fundamental questions about the sustainability of the $0.69/year dividend even as FFO covers it at $1.12-$1.16/share guidance</w:t>
      </w:r>
    </w:p>
    <w:p>
      <w:pPr>
        <w:spacing w:before="40" w:after="40"/>
        <w:ind w:left="283"/>
      </w:pPr>
      <w:r>
        <w:rPr>
          <w:rFonts w:ascii="Calibri" w:hAnsi="Calibri"/>
          <w:b/>
          <w:color w:val="4A6B25"/>
          <w:sz w:val="20"/>
        </w:rPr>
        <w:t xml:space="preserve">2. </w:t>
      </w:r>
      <w:r>
        <w:rPr>
          <w:rFonts w:ascii="Calibri" w:hAnsi="Calibri"/>
          <w:b w:val="0"/>
          <w:color w:val="3A4A28"/>
          <w:sz w:val="20"/>
        </w:rPr>
        <w:t>Sunbelt apartment markets remain oversupplied with elevated deliveries in Dallas, Atlanta, and Tampa through mid-2026, compressing same-store revenue growth to just 1.4% and NOI growth to 1.0% with risk of further deterioration</w:t>
      </w:r>
    </w:p>
    <w:p>
      <w:pPr>
        <w:spacing w:before="40" w:after="40"/>
        <w:ind w:left="283"/>
      </w:pPr>
      <w:r>
        <w:rPr>
          <w:rFonts w:ascii="Calibri" w:hAnsi="Calibri"/>
          <w:b/>
          <w:color w:val="4A6B25"/>
          <w:sz w:val="20"/>
        </w:rPr>
        <w:t xml:space="preserve">3. </w:t>
      </w:r>
      <w:r>
        <w:rPr>
          <w:rFonts w:ascii="Calibri" w:hAnsi="Calibri"/>
          <w:b w:val="0"/>
          <w:color w:val="3A4A28"/>
          <w:sz w:val="20"/>
        </w:rPr>
        <w:t>Lack of proptech and AI adoption in leasing, maintenance, and property management creates operational risk as competitors deploy AI-driven tools to achieve superior lead conversion, reduced vacancy, and lower operating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IRT's core business -- owning and operating physical apartment buildings -- is structurally protected from AI disruption. AI cannot replace physical housing, construct buildings, or eliminate the fundamental need for shelter in growing Sunbelt metro areas [5]. The 35,000-unit portfolio of tangible real estate assets represents an irreplaceable physical moat. However, proptech and AI-powered platforms are transforming multifamily operations: AI leasing agents have reduced lead-to-lease timelines by 65% at some operators, virtual leasing offices are gaining traction (64% of residents prefer digital methods), and AI-enabled rent optimization, maintenance prediction, and energy management tools are becoming competitive necessities [5]. IRT has not publicly discussed proptech adoption, creating a risk that peers who embrace AI-driven operations will achieve superior NOI margins and leasing velocity. AI Opportunity (0/1): No evidence of AI-generated revenue. IRT has not disclosed any AI-powered products, services, or quantified operational savings from artificial intelligence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Independence Realty Trust Q1 2026 Earnings Release and Financial Results -- investors.irtliving.com, May 2026</w:t>
      </w:r>
    </w:p>
    <w:p>
      <w:pPr>
        <w:spacing w:before="20" w:after="20"/>
        <w:ind w:left="170"/>
      </w:pPr>
      <w:r>
        <w:rPr>
          <w:rFonts w:ascii="Calibri" w:hAnsi="Calibri"/>
          <w:b/>
          <w:color w:val="4A6B25"/>
          <w:sz w:val="15"/>
        </w:rPr>
        <w:t xml:space="preserve">2. </w:t>
      </w:r>
      <w:r>
        <w:rPr>
          <w:rFonts w:ascii="Calibri" w:hAnsi="Calibri"/>
          <w:b w:val="0"/>
          <w:color w:val="3A4A28"/>
          <w:sz w:val="17"/>
        </w:rPr>
        <w:t>Independence Realty Trust FY 2026 Earnings Guidance and Annual Report -- SEC Form 8-K, February 2026</w:t>
      </w:r>
    </w:p>
    <w:p>
      <w:pPr>
        <w:spacing w:before="20" w:after="20"/>
        <w:ind w:left="170"/>
      </w:pPr>
      <w:r>
        <w:rPr>
          <w:rFonts w:ascii="Calibri" w:hAnsi="Calibri"/>
          <w:b/>
          <w:color w:val="4A6B25"/>
          <w:sz w:val="15"/>
        </w:rPr>
        <w:t xml:space="preserve">3. </w:t>
      </w:r>
      <w:r>
        <w:rPr>
          <w:rFonts w:ascii="Calibri" w:hAnsi="Calibri"/>
          <w:b w:val="0"/>
          <w:color w:val="3A4A28"/>
          <w:sz w:val="17"/>
        </w:rPr>
        <w:t>IRT Living Corporate Website and Leadership Team -- irtliving.com,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Inspire Insight -- IRT Faith Alignment Data,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Multifamily Proptech and AI Trends -- Multifamily Dive, PwC Emerging Trends in Real Estate,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