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IR</w:t>
      </w:r>
      <w:r>
        <w:rPr>
          <w:rFonts w:ascii="Calibri" w:hAnsi="Calibri"/>
          <w:b/>
          <w:color w:val="1A2010"/>
          <w:sz w:val="40"/>
        </w:rPr>
        <w:t xml:space="preserve">  Ingersoll Rand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2026-09-01 · Inspire: 68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Specialty Industrial Machinery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Ingersoll Rand Inc. is a diversified industrial company providing mission-critical flow creation and industrial solutions worldwide. The company operates through two segments: Industrial Technologies &amp; Services (compressors, blowers, vacuum systems, air treatment, and power tools) and Precision &amp; Science Technologies (pumps, fluid management, and dosing equipment). Formed from the 2020 merger of Gardner Denver and Ingersoll-Rand's Industrial segment, the company has completed 80+ bolt-on acquisitions to build a broad industrial platform.</w:t>
      </w:r>
    </w:p>
    <w:p>
      <w:r>
        <w:rPr>
          <w:rFonts w:ascii="Calibri" w:hAnsi="Calibri"/>
          <w:b/>
          <w:color w:val="6E8450"/>
          <w:sz w:val="18"/>
        </w:rPr>
        <w:t>21,000 Employees · https://www.irco.com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Innovation Track Record (2/3): The 2020 Gardner Denver / IR Industrial merger was a transformative business model change, creating a diversified industrial platform. Since then, IR has completed 80+ bolt-on acquisitions including recent additions Fai Filtri and a US blower manufacturer, systematically expanding into adjacent markets [1]. AI Deployment (0/2): No evidence of AI-powered products shipping to customers or specific AI-driven cost savings reported; digitalization and IIoT efforts remain general corporate initiatives without quantified results [5]. Market Share Leadership (1/2): IR holds meaningful positions in industrial compressors, blowers, and precision pumps, but competes against category leader Atlas Copco without dominant share across the portfolio [1]. Product Pipeline (1/2): Ongoing acquisition pipeline provides growth visibility, with management guiding 2-3% from M&amp;A for FY2026, and sustainability-driven product development targeting energy-efficient compressor and blower solutions [3]. R&amp;D Intensity (0/1): R&amp;D spending is at or near industry average for diversified industrials; the company's growth strategy emphasizes acquisitions over organic R&amp;D.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'Making Life Better' is the company's stated purpose — it connects IR's industrial products to improving efficiency, sustainability, and working conditions, but the phrase itself is highly generic and could apply to almost any company without modification. Community Impact (1/2): IR set ambitious 2030 and 2050 environmental goals including net-zero GHG by 2050, 17% water use reduction by 2030, and was recognized as a 2026 ESG Leader by Morningstar Sustainalytics [4]. Employee Retention (1/2): CEO Reynal emphasizes employee ownership culture and the company promotes a progressive, diverse, and inclusive workplace. No negative cultural signals, but no specific retention data (average tenure, voluntary turnover rates) available to confirm above-average performance [5]. Insider Buying (0/2): No evidence of meaningful net insider buying by CEO Reynal or other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Solid industrial financial profile with strong balance sheet and moderate growth. D/E of 48% is well below the 70% target and Moody's upgraded the credit rating to Baa1 [1]. ROE of 9.47% underperforms the 15% target (score 0.63), reflecting the asset-heavy industrial business model. Revenue growth of 8% YoY and estimated 9% 5yr CAGR are near but below the 10% target. Forward P/E of 20.97 just exceeds the 20 target (score 0.98) [2]. Profit margin of 12.08% is well below the 20% target (score 0.60), typical for diversified industrials. Forward PEG unavailable, excluded from calculation. Liquidity is excellent: 3.6M shares × $77.05 = $277M daily traded value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Ingersoll Rand demonstrates a mixed infinite game profile. The company's purpose of 'Making Life Better' is genuine but generic, and the acquisition-driven growth strategy prioritizes scale over deep purpose. CEO Reynal's employee ownership culture and disciplined capital allocation show long-term orientation, but the company has not faced a true test of existential flexibility or sacrificed near-term earnings for a bold strategic bet. The competitive relationship with Atlas Copco shows healthy awareness of worthy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IR's purpose of 'Making Life Better' is well-intentioned but reads as a corporate platitude rather than a Just Cause that inspires sacrifice. It does not describe a future state that doesn't yet exist, and it lacks the specificity to differentiate IR from any other industrial company. The purpose has not been tested through crisis or multi-decade consistency — the current Ingersoll Rand was formed just six years ago in 2020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Positive signals from IR's employee ownership culture, which CEO Reynal cites as a core organizational value. The company promotes 'progressive, diverse and inclusive culture' as a strategic priority and has maintained leadership stability since the 2020 merger [5]. No evidence of major layoffs, cultural red flags, or organizational instability. The consistent M&amp;A integration without apparent cultural disruption suggests adequate-to-good organizational trust across 21,000 employees.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IR explicitly benchmarks against Atlas Copco, the acknowledged gold standard in industrial compressors, using Atlas Copco's superior margins and innovation as motivation to improve its own operations rather than as a target to destroy [5]. This healthy competitive orientation — recognizing a rival's strengths to drive self-improvement — is precisely the infinite game mindset Sinek describes.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2020 formation of the new Ingersoll Rand through the Gardner Denver / IR Industrial merger was a significant strategic transformation, and the subsequent 80+ acquisitions have meaningfully evolved the company's portfolio and market position [1]. However, the core business model (manufacturing industrial equipment, selling through industrial distribution) has not fundamentally changed, and the acquisitions are incremental portfolio expansion rather than a transformative pivot driven by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IR demonstrated some courage in executing the complex Gardner Denver / IR Industrial merger during 2020 (amidst COVID), and has maintained disciplined M&amp;A execution with 80+ acquisitions while keeping leverage manageable at 1.7x net debt/EBITDA [1]. The company prioritized growth investment over shareholder returns — the 0.1% dividend yield reflects a deliberate choice to reinvest capital in acquisitions rather than distributions. However, the company has not made a visibly costly or contrarian bet that sacrificed near-term earnings.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Ingersoll Rand is a well-managed industrial compounder with a disciplined acquisition strategy and strong balance sheet. Q2 2026 revenue of $2.05B (+9% YoY) and adjusted EBITDA of $520M demonstrate consistent execution, while the raised FY2026 guidance to 4.5-6.5% revenue growth and $3.45-$3.57 adjusted EPS shows management confidence [1][3]. The company's net debt/EBITDA of 1.7x, Moody's Baa1 upgrade, and $3.8B in liquidity provide significant capacity for continued bolt-on acquisitions. IR's physical industrial products are among the most AI-immune businesses in the market, and data center growth is a direct secular tailwind for compressor and cooling demand. With an ALIGNED Inspire score of 68, ESG Leader recognition from Sustainalytics, and 18 positive ESG attributions, IR is well-positioned for faith-aligned investors.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and growth quality: at 20.97x forward earnings with only 7% adjusted EPS growth and 1-3% organic revenue growth, IR trades at a significant premium to its fundamental growth rate. The 31.69x trailing P/E is expensive for a diversified industrial company generating 12% profit margins and 9.5% ROE [2]. Organic growth of just 1.6% in Q2 orders and 4.1% in revenue suggests the underlying business is growing slowly, with headline growth driven by M&amp;A that may not be creating value proportionate to the premium multiple. The IT&amp;S segment's book-to-bill of 1.0x in Q2 signals order growth has stalled, and adjusted EBITDA margin compression of 180 bps year-over-year raises questions about pricing power in a competitive industrial market. The acquisition-heavy strategy also carries integration risk across dozens of recent deals.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AI data center buildout creating secular demand for IR's compressors, cooling systems, and industrial infrastructure — a structural tailwind independent of the economic cycle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disciplined M&amp;A with $3.8B in available liquidity could accelerate revenue growth above the current 4.5-6.5% guidance range through additional bolt-on acquisitions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Precision &amp; Science Technologies segment expanding adjusted EBITDA margins by 200 bps to 31.5% in Q2 demonstrates mix-shift potential toward higher-margin businesses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Organic order growth of only 1.6% in Q2 2026 and IT&amp;S book-to-bill of 1.0x signal underlying demand deceleration that acquisition contributions may be masking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Adjusted EBITDA margin compression of 180 bps in IT&amp;S raises questions about pricing power and integration execution across 80+ recent acquisitions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At 31.69x trailing PE with 9.5% ROE, the stock prices in continued premium execution that leaves little margin of safety if organic growth disappoints or acquisition multiples compress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Ingersoll Rand manufactures physical industrial equipment — compressors, blowers, pumps, and fluid management systems — that AI structurally cannot displace. These are mission-critical physical infrastructure products requiring precision engineering, manufacturing at scale, and installation-specific customization. AI growth actually increases demand for IR's products: data centers require compressed air systems, cooling infrastructure, and industrial fluid management [1]. Industrial equipment faces zero substitution risk from AI. The only vulnerability is that AI-enhanced predictive maintenance could reduce aftermarket parts revenue if it extends equipment lifecycles. AI Opportunity (0/1): IR has general digitalization and IIoT initiatives but does not generate quantifiable revenue from AI-specific products or services.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Ingersoll Rand Q2 2026 Earnings Release, investors.irco.com,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 Analysis — IR key statistics and valuation metrics,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Seeking Alpha — Ingersoll Rand raises 2026 revenue growth outlook to 4.5%-6.5%,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ESG Today — Ingersoll Rand sets 2030/2050 sustainability goals and ESG Leader recognition,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Simply Wall St — Ingersoll Rand leadership and management analysis,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Ingersoll Rand DEF 14A Proxy Statement, SEC filings,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