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ITW</w:t>
      </w:r>
      <w:r>
        <w:rPr>
          <w:rFonts w:ascii="Calibri" w:hAnsi="Calibri"/>
          <w:b/>
          <w:color w:val="1A2010"/>
          <w:sz w:val="40"/>
        </w:rPr>
        <w:t xml:space="preserve">  Illinois Tool Works Inc.</w:t>
      </w:r>
    </w:p>
    <w:p>
      <w:pPr>
        <w:spacing w:after="120"/>
      </w:pPr>
      <w:r>
        <w:rPr>
          <w:rFonts w:ascii="Calibri" w:hAnsi="Calibri"/>
          <w:b/>
          <w:color w:val="6E8450"/>
          <w:sz w:val="18"/>
        </w:rPr>
        <w:t>DIVIDEND SLEEVE · 2026-09-21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Illinois Tool Works is a global diversified manufacturer operating approximately 88 decentralized business divisions across 52 countries through seven segments: Automotive OEM, Food Equipment, Test &amp; Measurement and Electronics, Welding, Polymers &amp; Fluids, Construction Products, and Specialty Products. The company is renowned for its proprietary 80/20 Front-to-Back Process, which drives margin expansion, customer-back innovation, and operating discipline across all divisions.</w:t>
      </w:r>
    </w:p>
    <w:p>
      <w:r>
        <w:rPr>
          <w:rFonts w:ascii="Calibri" w:hAnsi="Calibri"/>
          <w:b/>
          <w:color w:val="6E8450"/>
          <w:sz w:val="18"/>
        </w:rPr>
        <w:t>43,000 Employees · https://www.itw.com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ITW's Customer-Back Innovation (CBI) programs contribute incrementally to revenue growth across its 88 divisions, but the company has not executed a transformative product launch or business model shift in recent years [1]. Q2 2026 revenue of $4.30B (+6.1% YoY) with organic growth of 4.5% demonstrates operational momentum driven by the 80/20 efficiency model and pricing power rather than product innovation [1]. Full-year 2026 EPS guidance was raised to $11.10-$11.50 representing 8% growth at midpoint [1]. No meaningful AI deployment — the company is considering introducing a Chief AI Officer but this remains proposed rather than implemented [3]. ITW holds leadership positions in niche industrial categories but R&amp;D intensity as a percentage of revenue is below industrial machinery peer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Christopher O'Herlihy, who assumed the role January 2024 after a 35-year career at ITW, is described as an exceptional leader with deep knowledge of the business model and culture [3]. The decentralized structure with 88 autonomous divisions creates an entrepreneurial culture where leaders have genuine ownership — a distinctive management philosophy applied consistently for over a decade [3]. However, the 80/20 model is an operational HOW rather than a purposeful WHY: it optimizes existing industrial operations without articulating a broader vision. The 62-year consecutive dividend increase streak demonstrates institutional commitment to shareholders, but community impact and philanthropic programs are modest relative to the company's $77B market cap.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SAFE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ITW delivers strong financial performance with Q2 2026 revenue up 6.1%, operating margins guided to 26.5-27.5%, and free cash flow exceeding 100% of net income [1]. ROE of 104.6% is exceptional (driven by reduced equity from aggressive buybacks) and profit margin of 19.4% is near the 20% target [2]. Forward PE of 21.73 and PEG of 2.5 reflect reasonable valuation for a premium industrial compounder. The dividend track record is elite: 62 consecutive annual increases with approximately 7.1% 5-year CAGR, yielding 2.55% with a 58.3% payout ratio [2]. The primary drag is D/E of 335%, now above the 300% floor, reflecting $9B+ debt against a buyback-reduced equity base — this scored 0 and is the difference between 8 and a higher score. Revenue 5yr CAGR of approximately 2% is modest. Liquidity floor cleared: 1.29M avg volume x $269.42 = $348M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ITW exemplifies a company built to endure through its decentralized 80/20 Business Model, consistently applied for over a decade across economic cycles and leadership transitions. The model empowers 88 business units to operate autonomously with genuine ownership, and the 62-year dividend growth streak demonstrates remarkable staying power. However, modest 2-3% organic growth and reliance on financial engineering (buybacks amplifying ROE and EPS) suggest prioritizing steady returns over bold transformation.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ITW's 80/20 Business Model represents a genuine and distinctive cause — empowering decentralized business units to deliver differentiated value by focusing on the top 20% of customers and products while eliminating complexity [3]. This philosophy survived the CEO transition from Santi to O'Herlihy in 2024 without disruption and shapes every strategic decision from portfolio composition to capital allocation. It falls short of a transformative Just Cause because it optimizes existing industrial operations rather than describing a bold future state.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ITW's organizational design embodies trust — only four executives report directly to the CEO, and 88 operating divisions run with substantial autonomy, making decisions about products, customers, and operations without corporate approval [3]. CEO O'Herlihy's 35-year internal career and emphasis on collaboration and transparency reflect deep institutional trust. The decentralized model succeeds precisely because headquarters trusts division leaders to execute — this is structural trust embedded in the operating model, not aspirational language.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ITW competes against specialized rivals in each of its seven segments — Lincoln Electric in welding, Middleby in food equipment, Stanley Black &amp; Decker in construction, Danaher in test &amp; measurement [1]. The 80/20 model is inherently about self-improvement through simplification and customer-back innovation rather than market share warfare. Management focuses on becoming better at serving the top 20% of customers rather than defeating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ITW has evolved through deliberate portfolio optimization — divesting Industrial Packaging and commodity businesses while focusing on higher-margin, differentiated segments [1]. The company reduced from hundreds of divisions to approximately 88 through strategic consolidation. These were meaningful decisions to abandon revenue in service of the 80/20 philosophy. However, the evolution has been incremental within the existing framework rather than a transformative reinvention — ITW has refined how it operates but not fundamentally changed what it does.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Management raised full-year 2026 EPS guidance to $11.10-$11.50 amid trade policy uncertainty, demonstrating confidence [1]. The 7% dividend increase for 2026 marking the 62nd consecutive increase shows conviction in the business model's durability. However, 3-4% organic growth guidance suggests prioritizing margin preservation over bold growth investments, and the company has not made a transformative strategic bet outside its existing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Illinois Tool Works is a premier industrial compounder delivering accelerating growth — Q2 2026 revenue of $4.30B grew 6.1% YoY with organic growth of 4.5%, prompting management to raise full-year EPS guidance to $11.10-$11.50 (8% growth at midpoint) with operating margins expanding to 26.5-27.5% [1]. The 80/20 Business Model drives industry-leading profitability with 19.4% net margins and 104.6% ROE, while 88 autonomous divisions provide diversified growth. The dividend track record is extraordinary: 62 consecutive annual increases at approximately 7.1% 5-year CAGR, currently yielding 2.55% with a 58.3% payout ratio and free cash flow exceeding 100% of net income [2].</w:t>
      </w:r>
    </w:p>
    <w:p>
      <w:pPr>
        <w:spacing w:after="120"/>
      </w:pPr>
      <w:r>
        <w:rPr>
          <w:rFonts w:ascii="Calibri" w:hAnsi="Calibri"/>
          <w:b w:val="0"/>
          <w:color w:val="3A4A28"/>
          <w:sz w:val="20"/>
        </w:rPr>
        <w:t>The bear case centers on elevated leverage, modest organic growth, and premium valuation. D/E has risen to 335% (above the 300% scoring floor) from aggressive buybacks reducing the equity base — while structural rather than distress-driven, this amplifies financial risk in a downturn [2]. Revenue 5-year CAGR of approximately 2% barely exceeds inflation, raising questions about whether financial engineering masks underlying business stagnation. At 21.73x forward earnings and PEG of 2.5, the stock is priced for consistent execution with limited margin of safety. Automotive OEM exposure (the largest segment) faces EV transition uncertainty and tariff risk. The Inspire Impact Score of -49 (MISALIGNED) due to LGBT Activism attribution may concern faith-aligned investors. AI adoption remains nascent with no deployed solutions despite considering a Chief AI Officer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raised to EPS $11.10-$11.50 with operating margins expanding to 26.5-27.5%, driven by enterprise initiatives contributing approximately 100 basis points of margin improvement [1]</w:t>
      </w:r>
    </w:p>
    <w:p>
      <w:pPr>
        <w:spacing w:before="40" w:after="40"/>
        <w:ind w:left="283"/>
      </w:pPr>
      <w:r>
        <w:rPr>
          <w:rFonts w:ascii="Calibri" w:hAnsi="Calibri"/>
          <w:b/>
          <w:color w:val="4A6B25"/>
          <w:sz w:val="20"/>
        </w:rPr>
        <w:t xml:space="preserve">2. </w:t>
      </w:r>
      <w:r>
        <w:rPr>
          <w:rFonts w:ascii="Calibri" w:hAnsi="Calibri"/>
          <w:b w:val="0"/>
          <w:color w:val="3A4A28"/>
          <w:sz w:val="20"/>
        </w:rPr>
        <w:t>62nd consecutive dividend increase with 7% annual hike and share buyback program targeting $1.5B in repurchases, amplifying per-share metrics with free cash flow exceeding 100% of net income [1][2]</w:t>
      </w:r>
    </w:p>
    <w:p>
      <w:pPr>
        <w:spacing w:before="40" w:after="40"/>
        <w:ind w:left="283"/>
      </w:pPr>
      <w:r>
        <w:rPr>
          <w:rFonts w:ascii="Calibri" w:hAnsi="Calibri"/>
          <w:b/>
          <w:color w:val="4A6B25"/>
          <w:sz w:val="20"/>
        </w:rPr>
        <w:t xml:space="preserve">3. </w:t>
      </w:r>
      <w:r>
        <w:rPr>
          <w:rFonts w:ascii="Calibri" w:hAnsi="Calibri"/>
          <w:b w:val="0"/>
          <w:color w:val="3A4A28"/>
          <w:sz w:val="20"/>
        </w:rPr>
        <w:t>Q2 2026 organic growth acceleration to 4.5% suggesting improving demand across industrial end markets after a modest 0.9% full-year 2025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Debt-to-equity of 335% (above 300% scoring floor) with $9B+ debt leaves limited balance sheet buffer — a sustained industrial downturn or rate elevation could pressure the dividend payout ratio and buyback program [2]</w:t>
      </w:r>
    </w:p>
    <w:p>
      <w:pPr>
        <w:spacing w:before="40" w:after="40"/>
        <w:ind w:left="283"/>
      </w:pPr>
      <w:r>
        <w:rPr>
          <w:rFonts w:ascii="Calibri" w:hAnsi="Calibri"/>
          <w:b/>
          <w:color w:val="4A6B25"/>
          <w:sz w:val="20"/>
        </w:rPr>
        <w:t xml:space="preserve">2. </w:t>
      </w:r>
      <w:r>
        <w:rPr>
          <w:rFonts w:ascii="Calibri" w:hAnsi="Calibri"/>
          <w:b w:val="0"/>
          <w:color w:val="3A4A28"/>
          <w:sz w:val="20"/>
        </w:rPr>
        <w:t>Revenue 5-year CAGR of approximately 2% and PEG of 2.5 suggest the premium 21.73x forward multiple prices in execution perfection on a low-organic-growth industrial portfolio [2]</w:t>
      </w:r>
    </w:p>
    <w:p>
      <w:pPr>
        <w:spacing w:before="40" w:after="40"/>
        <w:ind w:left="283"/>
      </w:pPr>
      <w:r>
        <w:rPr>
          <w:rFonts w:ascii="Calibri" w:hAnsi="Calibri"/>
          <w:b/>
          <w:color w:val="4A6B25"/>
          <w:sz w:val="20"/>
        </w:rPr>
        <w:t xml:space="preserve">3. </w:t>
      </w:r>
      <w:r>
        <w:rPr>
          <w:rFonts w:ascii="Calibri" w:hAnsi="Calibri"/>
          <w:b w:val="0"/>
          <w:color w:val="3A4A28"/>
          <w:sz w:val="20"/>
        </w:rPr>
        <w:t>Automotive OEM segment faces structural uncertainty from EV transition, potential tariff escalation, and cyclical production declines that could pressure ITW's largest revenue contributor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ITW's core business involves manufacturing and selling physical industrial products — welding equipment, food service machinery, automotive fasteners, construction products, polymers, and test instruments — that require tangible manufacturing, engineering, and hands-on application [1]. AI cannot substitute for physical welding equipment, commercial ovens, or construction sealants. The company's competitive moat is rooted in application engineering, customer relationships, deep domain expertise across 88 specialized divisions, and proprietary manufacturing processes that AI structurally cannot replicate. AI-driven industrial automation may actually increase demand for some ITW product categories (test &amp; measurement, electronics). The 80/20 model could serve as a natural filter for high-ROI AI applications within divisions, and the company is considering a Chief AI Officer role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Illinois Tool Works Q2 2026 Results and Raised Guidance — Revenue $4.30B (+6.1%), organic growth 4.5%, FY2026 EPS $11.10-$11.50, operating margins 26.5-27.5%, Benzinga/investor.itw.com, July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ITW key statistics, dividend history 62 years, financial ratios,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Illinois Tool Works Corporate Profile — 80/20 Business Model, CEO O'Herlihy 35-year career, decentralized 88-division structure, AI Officer consideration, TheOrg/Umbrex,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KnowESG — ITW MSCI ESG Rating A, moderate controversy level, ESG risk score 22.8,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