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IT</w:t>
      </w:r>
      <w:r>
        <w:rPr>
          <w:rFonts w:ascii="Calibri" w:hAnsi="Calibri"/>
          <w:b/>
          <w:color w:val="1A2010"/>
          <w:sz w:val="40"/>
        </w:rPr>
        <w:t xml:space="preserve">  Gartner, Inc.</w:t>
      </w:r>
    </w:p>
    <w:p>
      <w:pPr>
        <w:spacing w:after="120"/>
      </w:pPr>
      <w:r>
        <w:rPr>
          <w:rFonts w:ascii="Calibri" w:hAnsi="Calibri"/>
          <w:b/>
          <w:color w:val="6E8450"/>
          <w:sz w:val="18"/>
        </w:rPr>
        <w:t>GROWTH SLEEVE · 2026-09-18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NYSE · United States</w:t>
      </w:r>
    </w:p>
    <w:p>
      <w:pPr>
        <w:spacing w:after="80"/>
      </w:pPr>
      <w:r>
        <w:rPr>
          <w:rFonts w:ascii="Calibri" w:hAnsi="Calibri"/>
          <w:b w:val="0"/>
          <w:color w:val="3A4A28"/>
          <w:sz w:val="20"/>
        </w:rPr>
        <w:t>Gartner is the world's leading research and advisory company, serving C-suite leaders across IT, finance, HR, legal, marketing, and supply chain functions. Operates through Research (subscription-based insights and Magic Quadrant rankings), Conferences (industry events), and Consulting (strategic advisory). Divested Digital Markets in February 2026 to sharpen focus on core research. Q2 2026 adjusted revenue grew 2.8% with net income up 14% to $275.5M. Market cap ~$11.7B, founded 1979, headquartered in Stamford, Connecticut.</w:t>
      </w:r>
    </w:p>
    <w:p>
      <w:r>
        <w:rPr>
          <w:rFonts w:ascii="Calibri" w:hAnsi="Calibri"/>
          <w:b/>
          <w:color w:val="6E8450"/>
          <w:sz w:val="18"/>
        </w:rPr>
        <w:t>18,000 Employees · https://www.gartner.com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Gartner divested Digital Markets in February 2026 and its talent assessment operation in 2025 to sharpen focus on its core subscription research platform, but these are portfolio pruning moves rather than transformative product launches [1]. The core business model of subscription research, conferences, and consulting has been essentially unchanged for a decade. AI Deployment (1/2): Gartner has integrated AI into research delivery workflows and positioned itself as a leading enterprise AI advisor through its 'Gartner for AI Leaders' platform; the company published extensively on AI strategy and CEO surveys show Gartner as the authoritative voice on enterprise AI deployment [2]. However, no specific AI-driven revenue or cost savings have been disclosed. Market Share (2/2): Gartner's Magic Quadrant is the gold-standard technology evaluation framework used by virtually every Fortune 500 CIO, with dominant share in IT research and advisory and no comparable pure-play competitor at scale [1]. Contract value of approximately $5.3B provides a recurring revenue base no rival can match. Product Pipeline (0/2): No next-generation products with specific timelines announced; the business model remains subscription research with incremental enhancements. R&amp;D Intensity (0/1): Gartner does not report traditional R&amp;D spending; research content creation is the core activity but is not benchmarked against tech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Gartner's stated purpose is to 'deliver actionable, objective insight that drives smarter decisions and stronger performance on an organization's mission-critical priorities' [2] — clear and functional but interchangeable with any consulting firm. It describes what Gartner does, not a vision of a better future. Community Impact (1/2): Gartner operates Gartner Gives Back programs and conference scholarships for emerging leaders, though no specific dollar amounts for charitable giving or distinctive community initiatives were identified. Employee Retention (1/2): CEO Gene Hall's 22-year tenure since 2004 demonstrates exceptional leadership continuity and organizational stability [2]. However, cultural concerns persisted after the 2017 CEB acquisition, with some reviews noting a shift toward a more systematized, procedural research model. Insider Buying (0/2): CEO Hall and other insiders have been consistent net sellers, with over $100M in insider sales over the past 12-18 months — a clear signal of insider distribution rather than conviction.</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PEG excluded (unavailable). D/E of approximately 1047% (Total Debt $3.35B / Stockholders Equity $320M) scores 0.0 — technically extreme but reflects the buyback-depleted equity base from aggressive share repurchases rather than unsustainable leverage; actual net debt is approximately $2.5B against ~$1.3B annual FCF at ~2x leverage [1][4]. ROE of 113.58% scores 1.0 (2x weight), inflated by near-zero equity but reflecting genuine capital efficiency. Forward P/E of 11.28 scores 1.0, a deep discount for a franchise business [4]. Revenue growth YoY of -0.6% scores 0.65, impacted by the Digital Markets divestiture; adjusted revenue grew 2.8% in Q2 [1]. Estimated 5-year revenue CAGR of ~5.9% scores 0.73 (2x weight). Profit margin of 12.0% scores 0.60. Weighted sum: 5.70/8 available weight = Infrastructure 7. Liquidity floor easily cleared at ~$254M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Gartner under Gene Hall's 22-year leadership operates as a highly efficient subscription machine optimized for free cash flow generation and share buybacks, but lacks a Just Cause beyond commercial dominance in research advisory. The CEB acquisition expanded scope, and the Digital Markets divestiture sharpened focus, but strategic decisions are driven by financial optimization rather than a purpose that transcends profit. The massive insider selling undermines the long-term conviction narrative that an infinite game player requires.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Gartner's purpose of delivering 'actionable, objective insight' is a business description, not a Just Cause [2]. There is no articulated vision of a future state that transcends commercial interests. Strategic decisions — the CEB acquisition, Digital Markets divestiture, aggressive buybacks — are driven by financial optimization rather than purpose. The Magic Quadrant franchise has institutional value but serves vendor marketing as much as genuine buyer enlightenment.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Gene Hall's 22-year CEO tenure and stable executive team provide organizational consistency that most companies cannot match [2]. However, post-CEB cultural integration concerns persist, with descriptions of a shift toward a more systematized research model that reduced analyst autonomy. The tension between Hall's efficiency-driven management approach and the creative, relationship-driven nature of research advisory suggests adequate but not exceptional organizational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Gartner operates with a near-monopoly mindset in IT research, positioning itself as the definitive authority rather than acknowledging competitors' strengths. The company's competitive language centers on market dominance — contract value growth, client retention rates, market share — rather than self-improvement. The lack of a credible pure-play rival reinforces institutional insularity.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CEB acquisition in 2017 transformed Gartner from an IT-only research firm into a cross-functional enterprise advisory platform covering finance, HR, legal, marketing, and supply chain — a genuine business model evolution [1]. The Digital Markets divestiture in February 2026 demonstrates willingness to prune. However, the company has not demonstrated willingness to cannibalize its subscription model in response to AI disruption, suggesting rigidity precisely when flexibility is most needed.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$3.8B CEB acquisition in 2017 was a bold bet to expand beyond IT into all enterprise functions, and the Digital Markets divestiture shows willingness to sharpen focus [1]. Q2 2026 adjusted EBITDA grew 6.4% to $466M with margin expansion, demonstrating operational discipline. However, the massive buyback program while facing AI disruption risk suggests leadership is prioritizing financial engineering and EPS accretion over reinvestment in the business's long-term defensibility against AI substitution.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Gartner is the undisputed global leader in IT research and advisory, generating approximately $1.3B in annual free cash flow on ~$6.5B revenue with a subscription model that delivers high contribution margins [1]. At 11.28x forward earnings with 33.1% earnings growth, the stock offers deep value rarely seen for a franchise business with dominant market share and recurring revenue [4]. Q2 2026 adjusted revenue grew 2.8% with net income up 14% to $275.5M and adjusted EBITDA up 6.4% to $466M, demonstrating that the business continues to compound despite AI disruption fears [1]. Contract value of approximately $5.3B provides multi-year revenue visibility, and Gartner's institutional relationships with Fortune 500 CIOs represent a distribution moat. Aggressive buybacks drive per-share value creation even on modest organic growth.</w:t>
      </w:r>
    </w:p>
    <w:p>
      <w:pPr>
        <w:spacing w:after="120"/>
      </w:pPr>
      <w:r>
        <w:rPr>
          <w:rFonts w:ascii="Calibri" w:hAnsi="Calibri"/>
          <w:b w:val="0"/>
          <w:color w:val="3A4A28"/>
          <w:sz w:val="20"/>
        </w:rPr>
        <w:t>The existential question remains whether generative AI structurally erodes demand for Gartner's subscription research. While the stock has recovered 31% from its July trough, AI-powered analysis tools increasingly compete with the technology synthesis and vendor evaluation that Gartner sells to CIOs [2]. Reported revenue declined 0.6% YoY (Q2 adjusted +2.8% excluding Digital Markets divestiture), and contract value growth remains in low single digits — the weakest trajectory on record. D/E of 1047% reflects an equity base depleted by aggressive buybacks, leaving limited margin of safety if subscription revenue declines. Profit margin of 12.0% is well below the 20% target, and insiders including CEO Hall have been persistent net sellers exceeding $100M. The Inspire Impact Score of -49 (MISALIGNED) restricts faith-based investor allocation. If AI substitution accelerates, the subscription flywheel that generates Gartner's premium free cash flow could reverse.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Contract value growth reaccelerating above 5% FX-neutral as enterprises recognize LLMs cannot replace Gartner's proprietary benchmarking data, peer-validated insights, and institutional credibility embedded in procurement processes [1]</w:t>
      </w:r>
    </w:p>
    <w:p>
      <w:pPr>
        <w:spacing w:before="40" w:after="40"/>
        <w:ind w:left="283"/>
      </w:pPr>
      <w:r>
        <w:rPr>
          <w:rFonts w:ascii="Calibri" w:hAnsi="Calibri"/>
          <w:b/>
          <w:color w:val="4A6B25"/>
          <w:sz w:val="20"/>
        </w:rPr>
        <w:t xml:space="preserve">2. </w:t>
      </w:r>
      <w:r>
        <w:rPr>
          <w:rFonts w:ascii="Calibri" w:hAnsi="Calibri"/>
          <w:b w:val="0"/>
          <w:color w:val="3A4A28"/>
          <w:sz w:val="20"/>
        </w:rPr>
        <w:t>AI advisory demand expanding as a growth driver — enterprise spending on AI strategy guidance, vendor evaluation (Magic Quadrant for AI platforms), and deployment best practices creates a direct revenue tailwind from the disruption narrative [2]</w:t>
      </w:r>
    </w:p>
    <w:p>
      <w:pPr>
        <w:spacing w:before="40" w:after="40"/>
        <w:ind w:left="283"/>
      </w:pPr>
      <w:r>
        <w:rPr>
          <w:rFonts w:ascii="Calibri" w:hAnsi="Calibri"/>
          <w:b/>
          <w:color w:val="4A6B25"/>
          <w:sz w:val="20"/>
        </w:rPr>
        <w:t xml:space="preserve">3. </w:t>
      </w:r>
      <w:r>
        <w:rPr>
          <w:rFonts w:ascii="Calibri" w:hAnsi="Calibri"/>
          <w:b w:val="0"/>
          <w:color w:val="3A4A28"/>
          <w:sz w:val="20"/>
        </w:rPr>
        <w:t>Continued aggressive buybacks at 11.28x forward earnings with ~$1.3B annual FCF driving 15%+ EPS growth compounding, with the stock's recovery suggesting the AI disruption discount may be unwinding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Generative AI tools delivering technology synthesis that directly substitutes for Gartner's subscription research — if contract value growth turns negative, the subscription flywheel reverses rapidly and the premium FCF multiple evaporates [1]</w:t>
      </w:r>
    </w:p>
    <w:p>
      <w:pPr>
        <w:spacing w:before="40" w:after="40"/>
        <w:ind w:left="283"/>
      </w:pPr>
      <w:r>
        <w:rPr>
          <w:rFonts w:ascii="Calibri" w:hAnsi="Calibri"/>
          <w:b/>
          <w:color w:val="4A6B25"/>
          <w:sz w:val="20"/>
        </w:rPr>
        <w:t xml:space="preserve">2. </w:t>
      </w:r>
      <w:r>
        <w:rPr>
          <w:rFonts w:ascii="Calibri" w:hAnsi="Calibri"/>
          <w:b w:val="0"/>
          <w:color w:val="3A4A28"/>
          <w:sz w:val="20"/>
        </w:rPr>
        <w:t>CEO Gene Hall succession risk after 22 years with no visible succession plan, combined with persistent insider selling exceeding $100M over 12-18 months signaling management's own assessment of long-term value [2]</w:t>
      </w:r>
    </w:p>
    <w:p>
      <w:pPr>
        <w:spacing w:before="40" w:after="40"/>
        <w:ind w:left="283"/>
      </w:pPr>
      <w:r>
        <w:rPr>
          <w:rFonts w:ascii="Calibri" w:hAnsi="Calibri"/>
          <w:b/>
          <w:color w:val="4A6B25"/>
          <w:sz w:val="20"/>
        </w:rPr>
        <w:t xml:space="preserve">3. </w:t>
      </w:r>
      <w:r>
        <w:rPr>
          <w:rFonts w:ascii="Calibri" w:hAnsi="Calibri"/>
          <w:b w:val="0"/>
          <w:color w:val="3A4A28"/>
          <w:sz w:val="20"/>
        </w:rPr>
        <w:t>D/E of 1047% from buyback-depleted equity creates financial fragility — net debt of ~$2.5B against ~$1.3B FCF is manageable, but a material revenue decline would stress debt covenants and force buyback suspension, removing the primary EPS growth driver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Gartner faces meaningful AI substitution risk as its core business — synthesizing technology research and delivering analyst advisory — competes with generative AI tools that can produce analysis at near-zero marginal cost. Contract value growth has decelerated to low single digits, and some institutional investors have expressed concern about structural demand erosion. However, Gartner's proprietary peer benchmarking data from thousands of enterprises, analyst relationships with CIOs, and the institutional credibility of the Magic Quadrant brand create defensive moats that AI tools cannot replicate [1]. Corporate procurement processes requiring third-party analyst validation, and Gartner's role in vendor evaluation cycles, provide structural demand that casual AI tools do not satisfy. The stock's 31% recovery from $140.50 to $184.52 since the prior screen suggests the market is reassessing the severity of AI disruption risk. AI Opportunity (1/1): Gartner generates meaningful revenue from AI advisory services — enterprise demand for AI strategy guidance, vendor evaluation, and deployment best practices is a direct tailwind. Gartner's CEO surveys and AI research have become the authoritative source for enterprise AI adoption data, monetizing the disruption wave that threatens the traditional model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Gartner Q2 2026 Earnings — Adjusted revenue +2.8%, net income $275.5M (+14%), adjusted EBITDA $466M (+6.4%); Q1 2026 revenue $1.5B (-1.5% reported, +1.6% adjusted); Digital Markets divested February 2026, Investor Relations, May-August 2026</w:t>
      </w:r>
    </w:p>
    <w:p>
      <w:pPr>
        <w:spacing w:before="20" w:after="20"/>
        <w:ind w:left="170"/>
      </w:pPr>
      <w:r>
        <w:rPr>
          <w:rFonts w:ascii="Calibri" w:hAnsi="Calibri"/>
          <w:b/>
          <w:color w:val="4A6B25"/>
          <w:sz w:val="15"/>
        </w:rPr>
        <w:t xml:space="preserve">2. </w:t>
      </w:r>
      <w:r>
        <w:rPr>
          <w:rFonts w:ascii="Calibri" w:hAnsi="Calibri"/>
          <w:b w:val="0"/>
          <w:color w:val="3A4A28"/>
          <w:sz w:val="17"/>
        </w:rPr>
        <w:t>Gartner AI Leadership and CEO Research — 'Gartner for AI Leaders' platform, CEO AI surveys, AI-first enterprise guidance, Marketing Dive and Gartner.com, 2026</w:t>
      </w:r>
    </w:p>
    <w:p>
      <w:pPr>
        <w:spacing w:before="20" w:after="20"/>
        <w:ind w:left="170"/>
      </w:pPr>
      <w:r>
        <w:rPr>
          <w:rFonts w:ascii="Calibri" w:hAnsi="Calibri"/>
          <w:b/>
          <w:color w:val="4A6B25"/>
          <w:sz w:val="15"/>
        </w:rPr>
        <w:t xml:space="preserve">3. </w:t>
      </w:r>
      <w:r>
        <w:rPr>
          <w:rFonts w:ascii="Calibri" w:hAnsi="Calibri"/>
          <w:b w:val="0"/>
          <w:color w:val="3A4A28"/>
          <w:sz w:val="17"/>
        </w:rPr>
        <w:t>Gartner ESG and Corporate Governance — Governance Committee ESG oversight, quarterly Board updates, corporate responsibility disclosures, SEC DEF 14A,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IT Key Statistics: Forward P/E 11.28x, ROE 113.58%, Profit Margin 12.0%, Stock Price $184.52, D/E ~1047%,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