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IVR</w:t>
      </w:r>
      <w:r>
        <w:rPr>
          <w:rFonts w:ascii="Calibri" w:hAnsi="Calibri"/>
          <w:b/>
          <w:color w:val="1A2010"/>
          <w:sz w:val="40"/>
        </w:rPr>
        <w:t xml:space="preserve">  Invesco Mortgage Capital Inc.</w:t>
      </w:r>
    </w:p>
    <w:p>
      <w:pPr>
        <w:spacing w:after="120"/>
      </w:pPr>
      <w:r>
        <w:rPr>
          <w:rFonts w:ascii="Calibri" w:hAnsi="Calibri"/>
          <w:b/>
          <w:color w:val="6E8450"/>
          <w:sz w:val="18"/>
        </w:rPr>
        <w:t>DIVIDEND SLEEVE · 2026-09-07 · Inspire: 15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Invesco Mortgage Capital is an externally managed mortgage REIT that invests in, finances, and manages residential and commercial mortgage-backed securities and other mortgage-related assets. Managed by Invesco Advisers, the company operates a primarily agency RMBS portfolio funded through repurchase agreements. IVR reported Q2 2026 net income of $0.34 per share, reversing a Q1 loss, and delivered a 3.8% economic return for the quarter. CEO Kevin Collins was appointed in May 2026 following John Anzalone's retirement. Market cap is approximately $450M.</w:t>
      </w:r>
    </w:p>
    <w:p>
      <w:r>
        <w:rPr>
          <w:rFonts w:ascii="Calibri" w:hAnsi="Calibri"/>
          <w:b/>
          <w:color w:val="6E8450"/>
          <w:sz w:val="18"/>
        </w:rPr>
        <w:t>https://www.invescomortgagecapital.com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IVR has not launched new products, executed market pivots, or transformed its business model in the last 5 years — the company invests in agency RMBS through leverage, fundamentally the same strategy since its 2009 inception [4]. The only notable change was shifting portfolio composition toward agency MBS from a mixed agency/non-agency mix, which is tactical rebalancing rather than innovation. AI Deployment (0/2): No AI-powered products or AI-driven cost savings reported. IVR is externally managed by Invesco, and any AI deployment occurs at the parent level, not within IVR's operations [2]. Market Share (0/2): Mid-tier mortgage REIT with a ~$5.8B portfolio — significantly smaller than leaders AGNC Investment ($64B portfolio) and Annaly Capital ($75B+), with no evidence of market share gains [4]. Product Pipeline (0/2): No product pipeline; IVR manages a portfolio of securities, not products. Investment strategy adjustments are reactive to rate environments. R&amp;D Intensity (0/1): Zero R&amp;D spending as an externally managed REIT with no research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IVR's stated purpose is to provide attractive risk-adjusted returns to stockholders through a portfolio of mortgage-backed securities — a purely financial objective interchangeable with any leveraged income vehicle [4]. No articulated vision of a better future or connection to a purpose beyond shareholder returns. Community Impact (0/2): No evidence of charitable programs, community investment, or philanthropic activity at the IVR entity level. Any community engagement occurs at parent Invesco, not within IVR's corporate structure. Employee Retention (0/2): IVR has zero employees — it is externally managed by Invesco Advisers, making employee retention metrics structurally inapplicable [2]. Key officers Collins and Lyle have been with the company since its 2009 formation, but they are Invesco employees. Insider Buying (0/2): No evidence of meaningful net insider buying by executives. The externally managed structure reduces alignment between management compensation and share price performance.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IVR's forward P/E of 3.93x is exceptionally cheap, scoring maximum, and profit margin of 20.50% meets the 20% target [4]. However, debt-to-equity of 609% — typical for a leveraged mortgage REIT but catastrophic by the scoring rubric's 300% floor — scores 0. ROE of 7.51% is below the 15% target, scoring 0.50 [4]. The 105% payout ratio exceeds the 100% floor, scoring 0 — IVR is distributing more than it earns, eroding book value [1]. Revenue growth YoY of 9.7% in Q2 2026 nearly meets the 10% target. Consecutive years of dividend payments at ~15 (since IPO) scores maximum at 2x weight. However, consecutive years of dividend growth is 0 as the annual dividend has declined from ~$1.60 (2022) to $1.44 currently. Five-year dividend growth CAGR is approximately -0.8%, scoring 0 at 2x weight. Liquidity floor passes: $7.58 x 2.26M avg volume = $17.1M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IVR is a textbook finite game player — a leveraged financial vehicle that exists purely to generate quarterly dividend income. There is no Just Cause, no vision of a future worth building toward, and no organizational culture to speak of (zero employees, externally managed). The company optimizes for distributable earnings per share on a quarter-by-quarter basis, and the 105% payout ratio demonstrates willingness to erode book value to maintain the dividend — the opposite of playing to keep playing [1]. The one bright spot is portfolio flexibility in shifting between agency and non-agency MBS, but even this is reactive market positioning rather than cause-driven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IVR exists to generate income from leveraged mortgage securities investments — a purely financial objective with no vision of a better future [4]. Communications focus exclusively on book value per share, distributable earnings, and economic return — all finite metrics. No mission, vision, or values statement connects IVR's work to anything larger than shareholder returns. The externally managed structure means the company's raison d'etre is to provide fee income to Invesco while distributing interest income to shareholders. Sinek would classify this as finite by definition.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IVR has zero direct employees — it is entirely externally managed by Invesco Advisers [2]. The concept of trusting teams is structurally inapplicable. The management team (Kevin Collins, David Lyle) are Invesco employees whose incentives flow from Invesco's management fee structure rather than IVR's shareholder outcomes. This external management model is fundamentally at odds with Sinek's Circle of Safety — there is no organizational 'inside' to protect, and the principal-agent problem is embedded in the corporate structure.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IVR's competitive positioning is entirely about portfolio allocation and leverage management relative to peers like AGNC and NLY. Earnings calls focus on spread capture and hedging efficiency — the language of winning a quarterly game, not building enduring capability. No management commentary references learning from rivals or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IVR has demonstrated some strategic adaptability — shifting from a mixed agency/non-agency RMBS portfolio to a primarily agency RMBS strategy in recent years in response to the changing rate environment, and appointing new CEO Kevin Collins to lead the next phase [2]. These adjustments show willingness to evolve the investment approach. However, these are incremental portfolio changes within the same fundamental business model (leveraged MBS investing), not transformative pivots that redefine the company.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that sacrifice near-term results for future capability. IVR pays out 105% of earnings as dividends rather than retaining capital to strengthen the balance sheet — prioritizing short-term yield maintenance over long-term book value preservation [1]. The CEO transition was explicitly positioned as a 'continuity play' rather than a transformational moment [2]. Management optimizes for quarterly distributable earnings rather than investing in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IVR at 3.93x forward earnings and a 19.28% dividend yield offers one of the cheapest income streams in public equities — a compelling setup if the Federal Reserve continues easing, which would expand agency MBS book values and widen net interest margins. Q2 2026 marked a return to profitability with $0.34 EPS after a Q1 loss of -$0.28, and the 3.8% economic return demonstrates positive portfolio performance in the current rate environment [1]. Revenue grew 9.7% YoY in Q2 to $50.9M, and new CEO Kevin Collins — a 17-year company veteran since IVR's formation — provides deep institutional knowledge and strategic continuity [2]. The agency RMBS-focused portfolio benefits from an implicit U.S. government guarantee, reducing credit risk to near zero.</w:t>
      </w:r>
    </w:p>
    <w:p>
      <w:pPr>
        <w:spacing w:after="120"/>
      </w:pPr>
      <w:r>
        <w:rPr>
          <w:rFonts w:ascii="Calibri" w:hAnsi="Calibri"/>
          <w:b w:val="0"/>
          <w:color w:val="3A4A28"/>
          <w:sz w:val="20"/>
        </w:rPr>
        <w:t>The bear case is severe. IVR's 105% payout ratio means the company is distributing more than it earns — a mathematically unsustainable practice that erodes book value and will eventually force a dividend cut unless earnings improve materially [4]. Debt-to-equity of 609% creates existential leverage risk; the 2020 COVID crisis saw IVR's stock drop over 80% and the dividend slashed as leveraged MBS positions faced margin calls. The externally managed structure embeds a permanent conflict of interest — Invesco collects management fees regardless of IVR shareholder returns, and parent Invesco was fined $17.5M by the SEC in 2024 for misleading ESG claims, creating reputational overhang [3]. IVR has destroyed massive shareholder value since IPO, with the stock declining from split-adjusted levels well above $100 to ~$7.58. The 2026 revenue forecast was already cut from $223.1M to $214.3M. For IOWN's framework, IVR scores poorly across Innovation (0), Inspiration (1), and Infinite Game (1) — it is a pure financial instrument, not a purposeful enterprise.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cuts expanding agency MBS book values and widening net interest margins — each 25bps cut improves book value as MBS prices rise, with Q2 2026 already showing 3.8% economic return in a favorable rate environment [1]</w:t>
      </w:r>
    </w:p>
    <w:p>
      <w:pPr>
        <w:spacing w:before="40" w:after="40"/>
        <w:ind w:left="283"/>
      </w:pPr>
      <w:r>
        <w:rPr>
          <w:rFonts w:ascii="Calibri" w:hAnsi="Calibri"/>
          <w:b/>
          <w:color w:val="4A6B25"/>
          <w:sz w:val="20"/>
        </w:rPr>
        <w:t xml:space="preserve">2. </w:t>
      </w:r>
      <w:r>
        <w:rPr>
          <w:rFonts w:ascii="Calibri" w:hAnsi="Calibri"/>
          <w:b w:val="0"/>
          <w:color w:val="3A4A28"/>
          <w:sz w:val="20"/>
        </w:rPr>
        <w:t>New CEO Kevin Collins (appointed May 2026) potentially refreshing capital allocation strategy and addressing the unsustainable 105% payout ratio, prioritizing book value preservation over dividend maintenance [2]</w:t>
      </w:r>
    </w:p>
    <w:p>
      <w:pPr>
        <w:spacing w:before="40" w:after="40"/>
        <w:ind w:left="283"/>
      </w:pPr>
      <w:r>
        <w:rPr>
          <w:rFonts w:ascii="Calibri" w:hAnsi="Calibri"/>
          <w:b/>
          <w:color w:val="4A6B25"/>
          <w:sz w:val="20"/>
        </w:rPr>
        <w:t xml:space="preserve">3. </w:t>
      </w:r>
      <w:r>
        <w:rPr>
          <w:rFonts w:ascii="Calibri" w:hAnsi="Calibri"/>
          <w:b w:val="0"/>
          <w:color w:val="3A4A28"/>
          <w:sz w:val="20"/>
        </w:rPr>
        <w:t>Revenue growth trajectory accelerating — Q2 2026 revenue up 9.7% YoY to $50.9M with analyst forecasts projecting $214.3M for full year 2026, suggesting improving spread environment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105% is mathematically unsustainable — IVR is eroding book value to fund the $1.44 annual dividend, making a cut inevitable unless distributable earnings recover, as the $0.50/quarter run rate falls short of the $0.36/quarter dividend obligation [1]</w:t>
      </w:r>
    </w:p>
    <w:p>
      <w:pPr>
        <w:spacing w:before="40" w:after="40"/>
        <w:ind w:left="283"/>
      </w:pPr>
      <w:r>
        <w:rPr>
          <w:rFonts w:ascii="Calibri" w:hAnsi="Calibri"/>
          <w:b/>
          <w:color w:val="4A6B25"/>
          <w:sz w:val="20"/>
        </w:rPr>
        <w:t xml:space="preserve">2. </w:t>
      </w:r>
      <w:r>
        <w:rPr>
          <w:rFonts w:ascii="Calibri" w:hAnsi="Calibri"/>
          <w:b w:val="0"/>
          <w:color w:val="3A4A28"/>
          <w:sz w:val="20"/>
        </w:rPr>
        <w:t>Debt-to-equity of 609% creates extreme leverage risk — a repeat of 2020-style liquidity shock or sudden rate spike could force fire sales of MBS positions, as occurred when COVID margin calls wiped out 80%+ of shareholder value</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at Invesco creates permanent principal-agent conflict, compounded by parent Invesco's $17.5M SEC fine for misleading ESG claims (November 2024), raising governance integrity concerns across the complex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IVR's mortgage REIT business is structurally protected from AI disruption — the underlying assets are physical real estate, the REIT regulatory framework requires human governance and compliance, and the capital-intensive nature of leveraged MBS investing cannot be replicated by software alone [4]. Analysts are not flagging AI as a risk factor for mortgage REITs; the primary risks remain interest rate movements, credit spreads, and prepayment speeds. However, AI-driven quantitative strategies from hedge funds and algorithmic traders could optimize MBS portfolio management more efficiently than traditional externally managed REITs, creating indirect competitive pressure on IVR's value proposition. AI Opportunity (0/1): IVR generates no revenue from AI products or services. No AI capabilities are deployed at the IVR entity level — any AI tools exist at parent Invesco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Invesco Mortgage Capital Q2 2026 Earnings Release — Net Income $0.34/share, Revenue $50.9M (+9.7% YoY), 3.8% Economic Return, Distributable EPS $0.50 — PR Newswire, July 2026</w:t>
      </w:r>
    </w:p>
    <w:p>
      <w:pPr>
        <w:spacing w:before="20" w:after="20"/>
        <w:ind w:left="170"/>
      </w:pPr>
      <w:r>
        <w:rPr>
          <w:rFonts w:ascii="Calibri" w:hAnsi="Calibri"/>
          <w:b/>
          <w:color w:val="4A6B25"/>
          <w:sz w:val="15"/>
        </w:rPr>
        <w:t xml:space="preserve">2. </w:t>
      </w:r>
      <w:r>
        <w:rPr>
          <w:rFonts w:ascii="Calibri" w:hAnsi="Calibri"/>
          <w:b w:val="0"/>
          <w:color w:val="3A4A28"/>
          <w:sz w:val="17"/>
        </w:rPr>
        <w:t>Invesco Mortgage Capital CEO Transition — Kevin Collins appointed CEO, David Lyle as President (May 2026), succeeding John Anzalone — TipRanks, National Mortgage Professional, May 2026</w:t>
      </w:r>
    </w:p>
    <w:p>
      <w:pPr>
        <w:spacing w:before="20" w:after="20"/>
        <w:ind w:left="170"/>
      </w:pPr>
      <w:r>
        <w:rPr>
          <w:rFonts w:ascii="Calibri" w:hAnsi="Calibri"/>
          <w:b/>
          <w:color w:val="4A6B25"/>
          <w:sz w:val="15"/>
        </w:rPr>
        <w:t xml:space="preserve">3. </w:t>
      </w:r>
      <w:r>
        <w:rPr>
          <w:rFonts w:ascii="Calibri" w:hAnsi="Calibri"/>
          <w:b w:val="0"/>
          <w:color w:val="3A4A28"/>
          <w:sz w:val="17"/>
        </w:rPr>
        <w:t>SEC Charges Invesco Advisers $17.5M for Misleading ESG Integration Claims (2020-2022 Marketing Materials) — ESG Dive, November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 IVR Key Statistics: Forward P/E 3.93x, P/E 5.0x, ROE 7.51%, D/E 609%, Dividend Yield 19.28%, Profit Margin 20.5%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