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JAGX</w:t>
      </w:r>
      <w:r>
        <w:rPr>
          <w:rFonts w:ascii="Calibri" w:hAnsi="Calibri"/>
          <w:b/>
          <w:color w:val="1A2010"/>
          <w:sz w:val="40"/>
        </w:rPr>
        <w:t xml:space="preserve">  Jaguar Health, Inc.</w:t>
      </w:r>
    </w:p>
    <w:p>
      <w:pPr>
        <w:spacing w:after="120"/>
      </w:pPr>
      <w:r>
        <w:rPr>
          <w:rFonts w:ascii="Calibri" w:hAnsi="Calibri"/>
          <w:b/>
          <w:color w:val="6E8450"/>
          <w:sz w:val="18"/>
        </w:rPr>
        <w:t>GROWTH SLEEVE · 2026-09-01 · Inspire: 39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Jaguar Health is a commercial-stage pharmaceutical company focused on developing and commercializing plant-based medicines derived from the crofelemer compound. Lead product Mytesi is the only FDA-approved oral plant-based prescription medicine, indicated for HIV-associated diarrhea. In January 2026, the company licensed U.S. rights for Mytesi and Canalevia-CA1 to Woodward Specialty/Future Pak and is now pursuing rare disease indications (intestinal failure) for crofelemer. Three reverse stock splits since 2024 (1:60, 1:25, 1:35) and negative equity underscore severe financial distress. Market cap approximately $4M with stock down 98.6% over 52 weeks.</w:t>
      </w:r>
    </w:p>
    <w:p>
      <w:r>
        <w:rPr>
          <w:rFonts w:ascii="Calibri" w:hAnsi="Calibri"/>
          <w:b/>
          <w:color w:val="6E8450"/>
          <w:sz w:val="18"/>
        </w:rPr>
        <w:t>50 Employees · https://jaguarhealth.com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Mytesi received FDA approval for HIV-associated diarrhea, representing a genuine regulatory achievement as the only FDA-approved oral plant-based prescription medicine. The U.S. licensing deal with Woodward Specialty/Future Pak generated $19.1M in Q1 2026 license and grant revenue [1]. However, three reverse stock splits in two years (1:60, 1:25, 1:35) and persistent cash burn demonstrate fundamentally weak commercial execution — the company was unable to profitably market its own drug [2]. AI Deployment (0/2): Jaguar announced plans to explore AI platforms for crofelemer development in rare disease intestinal failure, but this remains aspirational with no deployed systems, quantified savings, or product outcomes [3]. Market Share (0.5/2): Mytesi holds a de facto monopoly in HIV-associated diarrhea treatment as the sole approved therapy, but the addressable market is small and U.S. commercial rights were licensed to Future Pak, reducing direct market participation [1]. Pipeline (0.5/2): Crofelemer development for rare disease intestinal failure (MVID program) has shown investigator-sponsored data with up to 37% reduction in parenteral support, but NDA filing timelines remain unspecified and the Board's 'strategic alternatives' exploration suggests uncertain development path [3][5]. R&amp;D Intensity (1/1): Commitment to maintaining rare disease R&amp;D while navigating severe financial distress demonstrates above-average prioritization relative to the company's ~50-person scale.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CEO Lisa Conte's 30+ year mission to pioneer plant-based prescription medicine derived from ethnobotanical research in tropical rainforests is genuinely unique and purpose-driven — the crofelemer compound from the Croton lechleri tree connects pharmaceutical development to indigenous knowledge and biodiversity conservation in a way no competitor replicates [3]. However, the company's severe financial distress (negative equity, stock down 98.6%, strategic alternatives exploration) raises fundamental questions about whether the mission can survive its financial reality [2][5]. Community Impact (0/2): No evidence of charitable foundation, community investment, or quantified social programs. The rainforest-derived sourcing model could theoretically benefit indigenous communities, but no specific programs or dollar amounts were identified. Employee Retention (0/2): With approximately 50 employees, severe financial distress, and Glassdoor reviews noting 'no set structure or procedures,' retention signals are negative [4]. Insider Buying (0/2): No evidence of meaningful net insider purchases; at a $4M market cap, insider confidence signals are absent.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avg daily volume of ~77,000 shares x stock price of $1.95 = ~$150,000, far below the $1,000,000 liquidity floor — Infrastructure score automatically 0 [6]. Underlying metrics are uniformly dire: D/E of 253% reflects crushing leverage, ROE of -548.83% indicates massive losses against a depleted equity base, and profit margin of -117.28% shows the company burns far more than it generates [6]. Q1 2026 revenue of $20.2M (+816% YoY) was inflated by $19.1M in non-recurring license revenue from the Woodward deal; Q2 2026 revenue collapsed to $1.2M (-59% YoY), exposing the true run rate [1][2]. Cash of $3.79M against $16.65M in debt creates immediate going-concern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Despite founder-CEO Lisa Conte's genuine 30-year passion for plant-based medicines, Jaguar Health operates in financial survival mode. Three reverse stock splits in two years, negative equity, and exploration of 'strategic alternatives' describe a company playing to survive the next quarter. The licensing of U.S. commercial rights and pivot to rare disease shows some strategic flexibility, but these moves were driven by financial desperation rather than cause-driven reinvention. The mission is real but the organization has failed to build the financial foundation to sustain it.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Conte's vision of developing plant-based medicines from rainforest-derived compounds is a genuine cause that connects pharmaceutical development to biodiversity, sustainability, and indigenous knowledge — unique among pharmaceutical companies [3]. However, the cause has not been validated by successful execution. The company has been unable to build a sustainable business around this purpose despite 30+ years of effort, and the financial distress (negative equity, three reverse splits, strategic alternatives exploration) suggests the cause is aspirational but not lived in organizational reality [2][5].</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 company with negative equity, persistent cash burn, three reverse stock splits in two years, and public exploration of strategic alternatives cannot maintain a high-trust environment [2][5]. Glassdoor reviews noting 'no set structure or procedures' confirm organizational dysfunction [4]. Employees operate under constant existential uncertainty — will the company survive the quarter? This environment is antithetical to the psychological safety Sinek considers foundational to trusting teams.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Jaguar Health's leadership referencing competitors' strengths or using competitive dynamics for self-improvement. The company operates in a niche (plant-based pharmaceuticals) with limited direct competitors, and public communications focus on its own clinical data and financial transactions rather than competitive learning or positioning.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January 2026 licensing agreement with Woodward Specialty/Future Pak fundamentally reshaped Jaguar's business model — from direct commercial pharma to a licensing/royalty model while refocusing on rare disease intestinal failure programs [1]. This represents a genuine strategic pivot, even though it was partly driven by financial necessity. The willingness to surrender U.S. commercial rights to focus resources on higher-value rare disease indications shows strategic prioritization, but the Board's June 2026 exploration of 'strategic alternatives' suggests even the new model may not be sustainable [5].</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three reverse stock splits (1:60, 1:25, 1:35) represent reactive responses to Nasdaq compliance threats rather than courageous strategic decisions [2]. The Future Pak licensing deal surrendered U.S. commercial rights — the company's most valuable asset — for near-term cash rather than investing in long-term capability building. The Board's exploration of 'strategic alternatives' in June 2026 suggests leadership acknowledging inability to independently execute the rare disease strategy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Jaguar Health's sole investment merit lies in its unique asset: crofelemer is the only FDA-approved oral plant-based prescription medicine, with an uncontested rare disease opportunity in intestinal failure where no approved therapies exist. Investigator-sponsored MVID data showing up to 37% reduction in parenteral support is clinically meaningful in this ultrarare population [3]. The January 2026 licensing agreement with Woodward Specialty eliminates U.S. commercialization burn while generating license revenue ($19.1M recognized in Q1 2026), allowing the company to focus scarce resources on the higher-value rare disease pipeline [1]. If crofelemer achieves FDA approval for IF, orphan drug exclusivity could provide pricing power disproportionate to the company's current $4M market cap. The Inspire Impact Score of 39 (ALIGNED) with zero negative attributions presents a clean faith profile.</w:t>
      </w:r>
    </w:p>
    <w:p>
      <w:pPr>
        <w:spacing w:after="120"/>
      </w:pPr>
      <w:r>
        <w:rPr>
          <w:rFonts w:ascii="Calibri" w:hAnsi="Calibri"/>
          <w:b w:val="0"/>
          <w:color w:val="3A4A28"/>
          <w:sz w:val="20"/>
        </w:rPr>
        <w:t>The bear case is overwhelming for all but the most speculative investors. Jaguar Health's stock has declined 98.6% over 52 weeks, with market cap collapsing to ~$4M, D/E of 253%, ROE of -548.83%, and profit margin of -117.28% [6]. Three reverse stock splits in two years demonstrate persistent inability to maintain Nasdaq listing compliance [2]. Q2 2026 revenue of $1.2M (-59% YoY) exposes the true run rate after the non-recurring $19.1M Q1 license recognition, confirming the company generates negligible organic revenue [1][2]. Cash of $3.79M against $16.65M in debt creates immediate going-concern risk, and further dilutive capital raises are virtually certain. Daily dollar volume of ~$150K is far below the $1M IOWN liquidity floor, making the stock essentially uninvestable for any sized position. The Board's June 2026 announcement of strategic alternatives exploration suggests the company may not survive as an independent entity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Crofelemer NDA filing for rare disease intestinal failure (MVID program) could create a high-value orphan drug asset — investigator data showing 37% reduction in parenteral support is clinically meaningful in this ultrarare population [3]</w:t>
      </w:r>
    </w:p>
    <w:p>
      <w:pPr>
        <w:spacing w:before="40" w:after="40"/>
        <w:ind w:left="283"/>
      </w:pPr>
      <w:r>
        <w:rPr>
          <w:rFonts w:ascii="Calibri" w:hAnsi="Calibri"/>
          <w:b/>
          <w:color w:val="4A6B25"/>
          <w:sz w:val="20"/>
        </w:rPr>
        <w:t xml:space="preserve">2. </w:t>
      </w:r>
      <w:r>
        <w:rPr>
          <w:rFonts w:ascii="Calibri" w:hAnsi="Calibri"/>
          <w:b w:val="0"/>
          <w:color w:val="3A4A28"/>
          <w:sz w:val="20"/>
        </w:rPr>
        <w:t>Strategic alternatives exploration could result in acquisition by a larger pharmaceutical company able to properly fund and commercialize the crofelemer platform at its full potential [5]</w:t>
      </w:r>
    </w:p>
    <w:p>
      <w:pPr>
        <w:spacing w:before="40" w:after="40"/>
        <w:ind w:left="283"/>
      </w:pPr>
      <w:r>
        <w:rPr>
          <w:rFonts w:ascii="Calibri" w:hAnsi="Calibri"/>
          <w:b/>
          <w:color w:val="4A6B25"/>
          <w:sz w:val="20"/>
        </w:rPr>
        <w:t xml:space="preserve">3. </w:t>
      </w:r>
      <w:r>
        <w:rPr>
          <w:rFonts w:ascii="Calibri" w:hAnsi="Calibri"/>
          <w:b w:val="0"/>
          <w:color w:val="3A4A28"/>
          <w:sz w:val="20"/>
        </w:rPr>
        <w:t>Ongoing royalty and milestone payments from Woodward Specialty/Future Pak U.S. licensing deal provide non-dilutive revenue without commercial infrastructure costs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risk — $3.79M cash against $16.65M debt with -$52.4M annual losses and negative equity create immediate existential financial threat requiring further dilutive raises [6]</w:t>
      </w:r>
    </w:p>
    <w:p>
      <w:pPr>
        <w:spacing w:before="40" w:after="40"/>
        <w:ind w:left="283"/>
      </w:pPr>
      <w:r>
        <w:rPr>
          <w:rFonts w:ascii="Calibri" w:hAnsi="Calibri"/>
          <w:b/>
          <w:color w:val="4A6B25"/>
          <w:sz w:val="20"/>
        </w:rPr>
        <w:t xml:space="preserve">2. </w:t>
      </w:r>
      <w:r>
        <w:rPr>
          <w:rFonts w:ascii="Calibri" w:hAnsi="Calibri"/>
          <w:b w:val="0"/>
          <w:color w:val="3A4A28"/>
          <w:sz w:val="20"/>
        </w:rPr>
        <w:t>Extreme dilution risk — three reverse stock splits in two years (1:60, 1:25, 1:35) with cumulative authorized share increases provide virtually unlimited dilution capacity for existing shareholders [2]</w:t>
      </w:r>
    </w:p>
    <w:p>
      <w:pPr>
        <w:spacing w:before="40" w:after="40"/>
        <w:ind w:left="283"/>
      </w:pPr>
      <w:r>
        <w:rPr>
          <w:rFonts w:ascii="Calibri" w:hAnsi="Calibri"/>
          <w:b/>
          <w:color w:val="4A6B25"/>
          <w:sz w:val="20"/>
        </w:rPr>
        <w:t xml:space="preserve">3. </w:t>
      </w:r>
      <w:r>
        <w:rPr>
          <w:rFonts w:ascii="Calibri" w:hAnsi="Calibri"/>
          <w:b w:val="0"/>
          <w:color w:val="3A4A28"/>
          <w:sz w:val="20"/>
        </w:rPr>
        <w:t>Liquidity crisis — daily dollar volume of ~$150K (77K shares x $1.95) is far below the $1M IOWN floor, making position entry or exit impossible without severe market impact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Jaguar Health's core business — developing and commercializing FDA-approved pharmaceutical products from plant-derived compounds — is structurally protected from AI disruption. Drug development requires physical clinical trials, FDA regulatory submissions, and GMP manufacturing that AI cannot substitute [1]. The crofelemer compound is extracted from a specific tree species (Croton lechleri) through a physical process, and pharmaceutical distribution requires physical medical infrastructure. However, AI-powered drug discovery at larger pharma competitors could accelerate development of synthetic alternatives to plant-derived GI compounds, and the company's micro-cap scale ($4M market cap) severely limits its ability to invest in AI defensively [6]. AI Opportunity (0/1): No AI-generated revenue. Plans to explore AI platforms for crofelemer development in intestinal failure remain aspirational with no products, revenue, or quantified outcomes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Jaguar Health Q1 2026 Financial Results — Revenue $20.2M (+816% YoY), $19.1M license/grant revenue from Woodward Specialty agreement, net loss $7.1M, May 2026</w:t>
      </w:r>
    </w:p>
    <w:p>
      <w:pPr>
        <w:spacing w:before="20" w:after="20"/>
        <w:ind w:left="170"/>
      </w:pPr>
      <w:r>
        <w:rPr>
          <w:rFonts w:ascii="Calibri" w:hAnsi="Calibri"/>
          <w:b/>
          <w:color w:val="4A6B25"/>
          <w:sz w:val="15"/>
        </w:rPr>
        <w:t xml:space="preserve">2. </w:t>
      </w:r>
      <w:r>
        <w:rPr>
          <w:rFonts w:ascii="Calibri" w:hAnsi="Calibri"/>
          <w:b w:val="0"/>
          <w:color w:val="3A4A28"/>
          <w:sz w:val="17"/>
        </w:rPr>
        <w:t>Jaguar Health Q2 2026 Earnings Report — Revenue $1.2M (-59% YoY), operating loss narrowed to $7.6M from $8.0M, August 2026; Reverse Stock Split History: 1:60 (May 2024), 1:25 (March 2025), 1:35 (April 2026)</w:t>
      </w:r>
    </w:p>
    <w:p>
      <w:pPr>
        <w:spacing w:before="20" w:after="20"/>
        <w:ind w:left="170"/>
      </w:pPr>
      <w:r>
        <w:rPr>
          <w:rFonts w:ascii="Calibri" w:hAnsi="Calibri"/>
          <w:b/>
          <w:color w:val="4A6B25"/>
          <w:sz w:val="15"/>
        </w:rPr>
        <w:t xml:space="preserve">3. </w:t>
      </w:r>
      <w:r>
        <w:rPr>
          <w:rFonts w:ascii="Calibri" w:hAnsi="Calibri"/>
          <w:b w:val="0"/>
          <w:color w:val="3A4A28"/>
          <w:sz w:val="17"/>
        </w:rPr>
        <w:t>Jaguar Health AI Exploration and Rare Disease Pipeline — AI platforms for crofelemer IF development, MVID investigator-sponsored study data, CEO Lisa Conte, Newswire/BioSpace/Digital Journal, 2025-2026</w:t>
      </w:r>
    </w:p>
    <w:p>
      <w:pPr>
        <w:spacing w:before="20" w:after="20"/>
        <w:ind w:left="170"/>
      </w:pPr>
      <w:r>
        <w:rPr>
          <w:rFonts w:ascii="Calibri" w:hAnsi="Calibri"/>
          <w:b/>
          <w:color w:val="4A6B25"/>
          <w:sz w:val="15"/>
        </w:rPr>
        <w:t xml:space="preserve">4. </w:t>
      </w:r>
      <w:r>
        <w:rPr>
          <w:rFonts w:ascii="Calibri" w:hAnsi="Calibri"/>
          <w:b w:val="0"/>
          <w:color w:val="3A4A28"/>
          <w:sz w:val="17"/>
        </w:rPr>
        <w:t>Glassdoor — Jaguar Health Employee Reviews,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Jaguar Health Strategic Alternatives Exploration Announcement — Board evaluating strategic alternatives, June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CNBC, Finviz — JAGX Key Statistics: Price $1.95, D/E 253%, ROE -548.83%, Profit Margin -117.28%, Market Cap ~$4M, avg volume ~77K,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