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JAN</w:t>
      </w:r>
      <w:r>
        <w:rPr>
          <w:rFonts w:ascii="Calibri" w:hAnsi="Calibri"/>
          <w:b/>
          <w:color w:val="1A2010"/>
          <w:sz w:val="40"/>
        </w:rPr>
        <w:t xml:space="preserve">  Janus Living, Inc.</w:t>
      </w:r>
    </w:p>
    <w:p>
      <w:pPr>
        <w:spacing w:after="120"/>
      </w:pPr>
      <w:r>
        <w:rPr>
          <w:rFonts w:ascii="Calibri" w:hAnsi="Calibri"/>
          <w:b/>
          <w:color w:val="6E8450"/>
          <w:sz w:val="18"/>
        </w:rPr>
        <w:t>GROWTH SLEEVE · 2026-10-04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Residential · NYSE · United States</w:t>
      </w:r>
    </w:p>
    <w:p>
      <w:pPr>
        <w:spacing w:after="80"/>
      </w:pPr>
      <w:r>
        <w:rPr>
          <w:rFonts w:ascii="Calibri" w:hAnsi="Calibri"/>
          <w:b w:val="0"/>
          <w:color w:val="3A4A28"/>
          <w:sz w:val="20"/>
        </w:rPr>
        <w:t>Janus Living is the only U.S. publicly traded REIT focused exclusively on the senior housing sector, with its entire portfolio owned and operated under RIDEA structures. Spun off from Healthpeak Properties and IPO'd on March 23, 2026, raising $966M in gross proceeds and completing a $690M follow-on offering in June 2026. As of June 30, 2026, Janus owns 41 senior housing communities comprising 11,420 units across 13 states, with Florida and Texas representing 64% of total units. Q2 2026 consolidated revenue of $216.5M increased 45% YoY with Adjusted EBITDAre of $79M. Externally managed by Healthpeak Investment Management. Market cap ~$9B.</w:t>
      </w:r>
    </w:p>
    <w:p>
      <w:r>
        <w:rPr>
          <w:rFonts w:ascii="Calibri" w:hAnsi="Calibri"/>
          <w:b/>
          <w:color w:val="6E8450"/>
          <w:sz w:val="18"/>
        </w:rPr>
        <w:t>https://www.janusreit.com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Janus Living IPO'd in March 2026 as a spin-off from Healthpeak Properties — the company has no independent innovation track record and has not executed any product launches, market pivots, or business model transformations [2]. The senior housing REIT model is well-established, not innovative. AI Deployment (0/2): No AI deployment evident in senior housing operations. The business is fundamentally people-intensive — caring for elderly residents — with no AI-powered products or quantifiable AI-driven efficiency gains reported [2]. Market Share (1/2): Janus Living is the only pure-play publicly traded senior housing REIT in the U.S. under RIDEA structures, creating genuine differentiation [2]. Portfolio expanded to 41 communities (11,420 units) by Q2, though much larger diversified REITs (Welltower, Ventas) hold substantially more senior housing inventory. Product Pipeline (1/2): Clear near-term growth visibility with $714M deployed in the first two quarters post-IPO — $314M JV buyout plus 6 additional communities for ~$400M, expanding from 34 to 41 communities [1]. Full-year 2026 EPS guidance raised to $0.34-$0.37. R&amp;D Intensity (0/1): Not applicable — REITs do not conduct traditional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Janus Living's purpose of providing quality senior housing connects the company's work to an inherently meaningful cause — caring for elderly Americans during vulnerable life transitions [2]. Senior housing has a built-in societal purpose that most industries lack. However, the company's communications frame this as a financial vehicle for senior housing investment, and the mission has not been tested through crisis or sustained execution as a six-month-old public entity. Community Impact (0/2): No evidence of specific charitable foundation, community investment programs, or measurable social impact beyond the inherent community service of operating senior housing facilities. Too new to have established philanthropic infrastructure [2]. Employee Retention (0/2): No retention data available. Janus is externally managed by Healthpeak Investment Management with no disclosed direct employee headcount or retention metrics. Senior housing generally faces high caregiver turnover industry-wide. Insider Buying (0/2): No evidence of meaningful open-market insider buying by CEO Scott Brinker or other executives. Management received shares as part of the Healthpeak spin-off structure, but no additional open-market purchases demonstrating conviction were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with significant data gaps due to the March 2026 IPO. Revenue growth YoY of 45.4% in Q2 2026 ($216.5M vs. $148.9M pro forma) scores perfectly against the 10% target, driven by occupancy recovery and aggressive acquisitions [1]. However, GAAP profit margin of only 1.8% scores near zero — the company earned just $0.05 EPS in Q2 2026, reflecting heavy REIT depreciation charges, IPO-related costs, and dilution from $1.65B in equity issuances [1]. Forward P/E of 153.8x far exceeds the 60x floor, scoring zero — though this metric is distorted by REIT accounting (GAAP earnings understated by non-cash depreciation). D/E, ROE, 5yr revenue CAGR, and PEG ratio are all unavailable from yfinance for this newly public entity, reducing the scoring base to only three metrics. Liquidity floor cleared with ~$48M in daily dollar trading volume (1.66M shares x $29.05).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Janus Living is too new to have demonstrated infinite game characteristics. IPO'd in March 2026 and externally managed by Healthpeak, the company has not been tested through a market cycle, leadership transition, or strategic crisis. Its competitive language centers on portfolio size, occupancy metrics, and acquisition volume — standard finite-game metrics for a REIT. The RIDEA structure is a financial innovation, not a Just Cause. Until Janus establishes its own organizational identity, builds a track record through adversity, and articulates a purpose beyond senior housing investment returns, it remains a finite player by Sinek's standards.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Senior housing serves a genuine societal need, but Janus Living frames its purpose financially — as a 'pure-play senior housing investment vehicle' rather than a vision of transforming how America ages [2][3]. The cause exists but is shallow: the mission is interchangeable with any senior housing REIT and does not articulate a future state that inspires sacrifice. CEO Scott Brinker's commentary emphasizes portfolio growth, occupancy metrics, and capital deployment rather than a deeper purpose beyond shareholder returns.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Scott Brinker's transition from Healthpeak provides leadership continuity and deep senior housing expertise [2]. The continuity of the same management team and operating partners through the spin-off transition suggests organizational stability. However, external management structures inherently create distance between the management company and community-level workforce, and no specific employee sentiment or retention data is available for the newly independent entity.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Management commentary focuses on portfolio size, unit count, occupancy rates, and acquisition volume [1]. Welltower and Ventas are framed implicitly as competitors to match in scale rather than worthy rivals from whom to learn. The competitive posture is about building the largest pure-play senior housing REIT — a finite-game framing.</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Janus Living has not been tested. The company is six months old with a single-focus strategy (RIDEA senior housing) that has not faced a market downturn, occupancy crisis, or industry disruption [2]. The pure-play structure that creates differentiation also limits strategic options — existential flexibility would require diversifying beyond the exclusive mandate that defines the company.</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decisions. Janus Living has existed as a public company for approximately six months and has not faced any strategic test requiring sacrifice of near-term results [1]. The spin-off from Healthpeak was a corporate restructuring decision by Healthpeak's board. The $714M in post-IPO acquisitions demonstrates capital deployment capability but is standard REIT growth activity funded by the $690M follow-on offering, not a courageous bet.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Janus Living offers unique pure-play exposure to the senior housing demographic wave — the only publicly traded U.S. REIT focused exclusively on senior housing, with 41 communities comprising 11,420 units generating Q2 2026 revenue of $216.5M (+45% YoY) and Adjusted EBITDAre of $79M [1]. The RIDEA structure, where revenue comes directly from residents rather than government programs, provides cash flow visibility superior to skilled nursing REITs. Post-IPO acquisition strategy deployed $714M in the first six months, expanding the portfolio from 34 to 41 communities across 13 states, with the $690M June follow-on offering providing additional capacity [1][3]. The aging baby boomer cohort creates structural demand growth for quality senior housing that is AI-immune and demographically inevitable.</w:t>
      </w:r>
    </w:p>
    <w:p>
      <w:pPr>
        <w:spacing w:after="120"/>
      </w:pPr>
      <w:r>
        <w:rPr>
          <w:rFonts w:ascii="Calibri" w:hAnsi="Calibri"/>
          <w:b w:val="0"/>
          <w:color w:val="3A4A28"/>
          <w:sz w:val="20"/>
        </w:rPr>
        <w:t>The bear case centers on extreme valuation, unproven independence, and thin profitability. At 153.8x forward GAAP P/E with only 1.8% profit margin, the stock prices in years of occupancy and rate growth that has not materialized in bottom-line profitability [4]. While REIT depreciation distorts GAAP metrics, even on an FFO basis the valuation reflects a significant premium to healthcare REIT peers. The $1.65B raised between the IPO and follow-on created massive share dilution. External management by Healthpeak creates potential conflicts of interest and management fee drag on returns. The company has zero independent track record through a recession or occupancy downturn — its communities were managed within Healthpeak during COVID-19. Senior housing faces structural labor challenges with high caregiver turnover and rising wages that could compress already-thin margins. The 1.96% dividend yield is below the 2% threshold typical of income-oriented REIT investors, and the limited six-month trading history means the stock's true risk profile during market stress is unknown.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Baby boomer demographic wave with 75+ population growing 4%+ annually creating structurally growing demand for quality senior housing across Janus Living's 41 communities concentrated in high-demand Florida and Texas retirement markets [2]</w:t>
      </w:r>
    </w:p>
    <w:p>
      <w:pPr>
        <w:spacing w:before="40" w:after="40"/>
        <w:ind w:left="283"/>
      </w:pPr>
      <w:r>
        <w:rPr>
          <w:rFonts w:ascii="Calibri" w:hAnsi="Calibri"/>
          <w:b/>
          <w:color w:val="4A6B25"/>
          <w:sz w:val="20"/>
        </w:rPr>
        <w:t xml:space="preserve">2. </w:t>
      </w:r>
      <w:r>
        <w:rPr>
          <w:rFonts w:ascii="Calibri" w:hAnsi="Calibri"/>
          <w:b w:val="0"/>
          <w:color w:val="3A4A28"/>
          <w:sz w:val="20"/>
        </w:rPr>
        <w:t>Accretive acquisition pipeline with demonstrated execution — $714M deployed in six months expanding from 34 to 41 communities, with a fragmented $500B+ senior housing market offering additional consolidation opportunities [1][3]</w:t>
      </w:r>
    </w:p>
    <w:p>
      <w:pPr>
        <w:spacing w:before="40" w:after="40"/>
        <w:ind w:left="283"/>
      </w:pPr>
      <w:r>
        <w:rPr>
          <w:rFonts w:ascii="Calibri" w:hAnsi="Calibri"/>
          <w:b/>
          <w:color w:val="4A6B25"/>
          <w:sz w:val="20"/>
        </w:rPr>
        <w:t xml:space="preserve">3. </w:t>
      </w:r>
      <w:r>
        <w:rPr>
          <w:rFonts w:ascii="Calibri" w:hAnsi="Calibri"/>
          <w:b w:val="0"/>
          <w:color w:val="3A4A28"/>
          <w:sz w:val="20"/>
        </w:rPr>
        <w:t>RIDEA structure operating leverage — as occupancy recovers from post-COVID levels, the direct-pay resident revenue model translates incremental revenue to EBITDA at high flow-through margins, with Q2 Adjusted EBITDAre of $79M already 34% above prior year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GAAP valuation at 153.8x forward P/E with 1.8% profit margin reflects expectations for multi-year occupancy and rate growth that may not materialize if a recession reduces senior housing demand or labor cost inflation compresses margins [4]</w:t>
      </w:r>
    </w:p>
    <w:p>
      <w:pPr>
        <w:spacing w:before="40" w:after="40"/>
        <w:ind w:left="283"/>
      </w:pPr>
      <w:r>
        <w:rPr>
          <w:rFonts w:ascii="Calibri" w:hAnsi="Calibri"/>
          <w:b/>
          <w:color w:val="4A6B25"/>
          <w:sz w:val="20"/>
        </w:rPr>
        <w:t xml:space="preserve">2. </w:t>
      </w:r>
      <w:r>
        <w:rPr>
          <w:rFonts w:ascii="Calibri" w:hAnsi="Calibri"/>
          <w:b w:val="0"/>
          <w:color w:val="3A4A28"/>
          <w:sz w:val="20"/>
        </w:rPr>
        <w:t>External management by Healthpeak creates structural conflicts of interest and management fee drag on returns, with the company having no track record of independent capital allocation or crisis management [2]</w:t>
      </w:r>
    </w:p>
    <w:p>
      <w:pPr>
        <w:spacing w:before="40" w:after="40"/>
        <w:ind w:left="283"/>
      </w:pPr>
      <w:r>
        <w:rPr>
          <w:rFonts w:ascii="Calibri" w:hAnsi="Calibri"/>
          <w:b/>
          <w:color w:val="4A6B25"/>
          <w:sz w:val="20"/>
        </w:rPr>
        <w:t xml:space="preserve">3. </w:t>
      </w:r>
      <w:r>
        <w:rPr>
          <w:rFonts w:ascii="Calibri" w:hAnsi="Calibri"/>
          <w:b w:val="0"/>
          <w:color w:val="3A4A28"/>
          <w:sz w:val="20"/>
        </w:rPr>
        <w:t>Massive share dilution from $1.65B in equity issuance within 3 months of IPO, combined with a six-month public track record and no evidence of execution through adversity, creates significant downside risk at current premium valuation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Senior housing is a physical-world business that AI structurally cannot displace. Janus Living's 41 communities provide in-person residential care, dining, activities, and health services to elderly residents — none of which can be substituted by artificial intelligence [2]. The aging U.S. demographic tailwind (75+ population growing 4%+ annually) ensures secular demand growth driven by demographics, not technology trends. The RIDEA operating structure with revenue paid directly by residents provides additional insulation from technology-driven disruption [3]. AI may modestly enhance operational efficiency (predictive maintenance, staff scheduling, health monitoring) but cannot threaten the core proposition of physical housing for seniors. No analyst has flagged AI disruption as a risk for senior housing REITs. AI Opportunity (0/1): Janus generates no revenue from AI products or services. No AI-driven revenue initiatives or quantifiable AI cost savings have been disclosed in the company's first two quarters as a public entity.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Janus Living Q2 2026 10-Q and Earnings Release — Revenue $216.5M (+45% YoY), EPS $0.05, Adjusted EBITDAre $79M (+34%), Full-Year 2026 Guidance $0.34-$0.37 EPS, $690M Follow-On Offering, August 2026</w:t>
      </w:r>
    </w:p>
    <w:p>
      <w:pPr>
        <w:spacing w:before="20" w:after="20"/>
        <w:ind w:left="170"/>
      </w:pPr>
      <w:r>
        <w:rPr>
          <w:rFonts w:ascii="Calibri" w:hAnsi="Calibri"/>
          <w:b/>
          <w:color w:val="4A6B25"/>
          <w:sz w:val="15"/>
        </w:rPr>
        <w:t xml:space="preserve">2. </w:t>
      </w:r>
      <w:r>
        <w:rPr>
          <w:rFonts w:ascii="Calibri" w:hAnsi="Calibri"/>
          <w:b w:val="0"/>
          <w:color w:val="3A4A28"/>
          <w:sz w:val="17"/>
        </w:rPr>
        <w:t>Senior Housing News — Healthpeak Announces Formation of Janus Living (January 2026); Janus Living S-11 and 424B4 IPO Prospectus — RIDEA Structure, 34 Communities, CEO Scott Brinker, March 2026</w:t>
      </w:r>
    </w:p>
    <w:p>
      <w:pPr>
        <w:spacing w:before="20" w:after="20"/>
        <w:ind w:left="170"/>
      </w:pPr>
      <w:r>
        <w:rPr>
          <w:rFonts w:ascii="Calibri" w:hAnsi="Calibri"/>
          <w:b/>
          <w:color w:val="4A6B25"/>
          <w:sz w:val="15"/>
        </w:rPr>
        <w:t xml:space="preserve">3. </w:t>
      </w:r>
      <w:r>
        <w:rPr>
          <w:rFonts w:ascii="Calibri" w:hAnsi="Calibri"/>
          <w:b w:val="0"/>
          <w:color w:val="3A4A28"/>
          <w:sz w:val="17"/>
        </w:rPr>
        <w:t>Janus Living 424B4 Follow-On Prospectus — $690M Net Proceeds, JV Buyout $314M, Six Additional Community Acquisitions ~$400M, 41 Communities / 11,420 Units as of June 30,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StockAnalysis.com — JAN Key Statistics: Forward P/E 153.78x, Profit Margin 1.83%, Revenue Growth 45.4%, Dividend Yield 1.96%, Stock Price $29.05,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