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JCI</w:t>
      </w:r>
      <w:r>
        <w:rPr>
          <w:rFonts w:ascii="Calibri" w:hAnsi="Calibri"/>
          <w:b/>
          <w:color w:val="1A2010"/>
          <w:sz w:val="40"/>
        </w:rPr>
        <w:t xml:space="preserve">  Johnson Controls International plc</w:t>
      </w:r>
    </w:p>
    <w:p>
      <w:pPr>
        <w:spacing w:after="120"/>
      </w:pPr>
      <w:r>
        <w:rPr>
          <w:rFonts w:ascii="Calibri" w:hAnsi="Calibri"/>
          <w:b/>
          <w:color w:val="6E8450"/>
          <w:sz w:val="18"/>
        </w:rPr>
        <w:t>GROWTH SLEEVE · 2026-08-26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Building Products &amp; Equipment · NYSE · Ireland</w:t>
      </w:r>
    </w:p>
    <w:p>
      <w:pPr>
        <w:spacing w:after="80"/>
      </w:pPr>
      <w:r>
        <w:rPr>
          <w:rFonts w:ascii="Calibri" w:hAnsi="Calibri"/>
          <w:b w:val="0"/>
          <w:color w:val="3A4A28"/>
          <w:sz w:val="20"/>
        </w:rPr>
        <w:t>Johnson Controls International plc designs, manufactures, sells, installs, and services HVAC equipment, building management systems, fire detection and suppression, and integrated security systems worldwide. Under CEO Joakim Weidemanis (since March 2025, previously of Danaher), JCI has continued sharpening its portfolio around commercial and data-center building technology, including the divestiture of its Residential &amp; Light Commercial HVAC business to Bosch. Q3 FY2026 results showed revenue of $6.6B (+9%), organic sales +10%, adjusted EPS of $1.42 (+35% YoY, beating estimates), and a record backlog of $21B (+32% YoY) driven substantially by data-center demand, prompting a second consecutive raise to full-year guidance.</w:t>
      </w:r>
    </w:p>
    <w:p>
      <w:r>
        <w:rPr>
          <w:rFonts w:ascii="Calibri" w:hAnsi="Calibri"/>
          <w:b/>
          <w:color w:val="6E8450"/>
          <w:sz w:val="18"/>
        </w:rPr>
        <w:t>87,000 Employees · https://www.johnsoncontrols.com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Johnson Controls' divestiture of its Residential &amp; Light Commercial HVAC business to Bosch (closing 2025-2026), layered on top of the 2019 Power Solutions divestiture, has re-concentrated the company around commercial buildings and data-center infrastructure — a real strategic refocusing that is now paying off as data-center cooling demand accelerates [1][3]. AI Deployment (1/2): The OpenBlue digital platform applies AI to building optimization and predictive maintenance, and two JCI leaders were named to the Constellation Research AI 150 list, but no specific AI-attributable revenue or cost-savings figures have been disclosed [2]. Market Share (2/2): JCI is a global leader in commercial HVAC and building technology, and Q3 FY2026 Systems orders surged 40% organically on data-center and mission-critical facility demand — specific, quantified evidence of fast share gains in a category JCI is well positioned to lead [1]. Pipeline (1/2): OpenBlue continues to expand and data-center-specific thermal management solutions are ramping with demand, but no next-generation product was named with a firm launch date and quantified revenue visibility. R&amp;D Intensity (1/1): JCI's 140-year building-technology innovation heritage and continued OpenBlue/HVAC efficiency investment support an R&amp;D intensity above typical building-products peers, though a precise percentage was not independently confirmed.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New CEO Weidemanis describes being "energized by" JCI's "mission-driven culture and strong 140-year legacy," and the stated purpose of smarter, more sustainable buildings connects to genuine environmental outcomes, but it reads more as a business description than a distinctive cause [3]. Community Impact (1/2): 27% of manufacturing sites achieved Zero Landfill status in 2025 and 91% of purchased electricity was renewable, genuine but industry-standard ESG commitments [4]. Employee Retention (0/2): Glassdoor shows a 3.7/5 overall rating but persistent reviewer complaints of "high turnover rate amongst sales," redundancy "every 1 to 1.5 years," and no job security — direct evidence against retention strength [3]. Insider Buying (0/2): Recent activity is net insider selling, not buying — a VP disposed of $12.5M in shares in May 2026, insiders sold a net $6.9M in the three months to February 2026, and another $3.6M disposition occurred in August 2026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(PEG included, no dividend metrics — yield of 1.13% falls below the 2% dividend-sleeve threshold despite JCI's long dividend-payment history). D/E of 70.11% lands almost exactly at the 70% target (0.9995), and ROE of 14.33% scores 0.96 against the 15% target at 2x weight. Revenue growth YoY of 9.3% scores 0.98, though the estimated 5-year revenue CAGR of roughly 3% (depressed by the Power Solutions and Residential HVAC divestitures reshaping the revenue base) scores only 0.53 at 2x weight [1]. Forward P/E of 23.51x scores 0.91 and profit margin of 14.32% scores 0.72. Forward PEG of 1.64 scores 0.68 at 2x weight. Liquidity clears the floor comfortably at roughly $573M in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Johnson Controls now shows a clearer pattern of existential flexibility — the Bosch divestiture of Residential &amp; Light Commercial HVAC, layered on the 2019 Power Solutions sale, reflects a repeated willingness to shed legacy businesses to sharpen focus on commercial and data-center building technology, a bet now paying off in record backlog. But persistent Glassdoor complaints about high turnover and job insecurity, confirmed net insider selling through 2026, and no clear evidence of leadership sacrifice keep this a mixed rather than infinite profile under Sinek's lens.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JCI's purpose around smart, sustainable buildings connects to meaningful outcomes and is echoed by new CEO Weidemanis's stated alignment with the 140-year legacy, but persistent employee turnover and multiple leadership transitions in recent years suggest the cause has not been consistently embedded across the organization [3].</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continue to cite "high turnover rate amongst sales," redundancy occurring "every 1 to 1.5 years," and no job security — a persistent pattern across leadership transitions that signals a low-trust environment despite an overall 3.7/5 rating [3].</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JCI competes with Honeywell, Siemens, Trane, and Carrier in a building-technology market where products often interoperate with competitors' systems, and OpenBlue investment is framed around JCI's own capability rather than destroying rivals [1].</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The divestiture of the Residential &amp; Light Commercial HVAC business to Bosch, on top of the 2019 Power Solutions sale, is now a repeated pattern of JCI abandoning established, profitable business lines to concentrate on higher-growth commercial and data-center building technology — a strategic bet now validated by the 40% organic Systems order growth and record $21B backlog [1][3].</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Raising FY2026 guidance for a second consecutive quarter and continuing to invest in data-center-focused capacity reflects some confidence-driven capital allocation, but this is offset by continued net insider selling by senior executives and a pattern of workforce reductions that suggests cost management is a bigger driver than long-term capability investment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Johnson Controls' Q3 FY2026 results show a business genuinely inflecting on the back of data-center demand: revenue grew 9% to $6.6B (organic +10%), adjusted EPS surged 35% to $1.42 (beating the $1.29 estimate), and the company posted a record $21B backlog (+32% YoY) with Systems orders up 40% organically — strong enough evidence that management raised full-year guidance for the second consecutive quarter (organic revenue growth to ~8%, adjusted EPS to ~$5.05) [1]. The Bosch divestiture of the Residential &amp; Light Commercial HVAC business completes a second major portfolio simplification (following the 2019 Power Solutions sale), leaving JCI a more focused, higher-growth commercial and data-center building-technology pure play just as AI-driven data-center construction accelerates demand for its core cooling and controls products [1][3]. Infrastructure metrics are solid for a growth industrial, with D/E landing almost exactly at target and Forward PEG of 1.64 reasonable relative to the accelerating growth trajectory [4].</w:t>
      </w:r>
    </w:p>
    <w:p>
      <w:pPr>
        <w:spacing w:after="120"/>
      </w:pPr>
      <w:r>
        <w:rPr>
          <w:rFonts w:ascii="Calibri" w:hAnsi="Calibri"/>
          <w:b w:val="0"/>
          <w:color w:val="3A4A28"/>
          <w:sz w:val="20"/>
        </w:rPr>
        <w:t>The bear case centers on cultural fragility and valuation. Despite the strong quarter, Glassdoor reviews persistently describe high sales turnover, redundancies recurring roughly every 12-18 months, and no job security — a pattern that has not improved across two CEO transitions and raises questions about whether execution quality can be sustained as order volume scales [3]. Insiders have been net sellers throughout 2026 (a $12.5M VP sale in May, $6.9M net selling through February, a further $3.6M disposition in August), which is not itself disqualifying but offers no insider-conviction counterweight to the bullish guidance raises [3]. The 5-year revenue CAGR of roughly 3% remains modest, distorted by two major divestitures reshaping the revenue base, and the stock's 39.95x trailing P/E prices in a considerable amount of the data-center-driven acceleration continuing without disruption. JCI's global footprint (87,000 employees, 150+ countries) remains exposed to tariff and commercial-construction-cycle risk, and the low 1.13% dividend yield offers minimal income cushion if growth decelerates.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$21B backlog (+32% YoY), with Systems backlog of $18.4B (+37%), converting into revenue over the next several quarters as data-center and mission-critical facility construction continues to accelerate [1]</w:t>
      </w:r>
    </w:p>
    <w:p>
      <w:pPr>
        <w:spacing w:before="40" w:after="40"/>
        <w:ind w:left="283"/>
      </w:pPr>
      <w:r>
        <w:rPr>
          <w:rFonts w:ascii="Calibri" w:hAnsi="Calibri"/>
          <w:b/>
          <w:color w:val="4A6B25"/>
          <w:sz w:val="20"/>
        </w:rPr>
        <w:t xml:space="preserve">2. </w:t>
      </w:r>
      <w:r>
        <w:rPr>
          <w:rFonts w:ascii="Calibri" w:hAnsi="Calibri"/>
          <w:b w:val="0"/>
          <w:color w:val="3A4A28"/>
          <w:sz w:val="20"/>
        </w:rPr>
        <w:t>Continued AI-driven data-center buildout translating into further Systems order growth (already +40% organically in Q3), reinforcing JCI's positioning as a critical-infrastructure beneficiary of the AI capex cycle rather than a target of AI disruption [1]</w:t>
      </w:r>
    </w:p>
    <w:p>
      <w:pPr>
        <w:spacing w:before="40" w:after="40"/>
        <w:ind w:left="283"/>
      </w:pPr>
      <w:r>
        <w:rPr>
          <w:rFonts w:ascii="Calibri" w:hAnsi="Calibri"/>
          <w:b/>
          <w:color w:val="4A6B25"/>
          <w:sz w:val="20"/>
        </w:rPr>
        <w:t xml:space="preserve">3. </w:t>
      </w:r>
      <w:r>
        <w:rPr>
          <w:rFonts w:ascii="Calibri" w:hAnsi="Calibri"/>
          <w:b w:val="0"/>
          <w:color w:val="3A4A28"/>
          <w:sz w:val="20"/>
        </w:rPr>
        <w:t>Full realization of the simplified post-Bosch-divestiture portfolio, potentially supporting margin expansion and a re-rating toward higher-growth industrial peer multiples as the commercial/data-center mix increases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Persistent cultural instability — Glassdoor reviews continue to describe high sales turnover and redundancies recurring every 12-18 months across two CEO transitions, threatening execution quality as order backlog scales toward delivery [3]</w:t>
      </w:r>
    </w:p>
    <w:p>
      <w:pPr>
        <w:spacing w:before="40" w:after="40"/>
        <w:ind w:left="283"/>
      </w:pPr>
      <w:r>
        <w:rPr>
          <w:rFonts w:ascii="Calibri" w:hAnsi="Calibri"/>
          <w:b/>
          <w:color w:val="4A6B25"/>
          <w:sz w:val="20"/>
        </w:rPr>
        <w:t xml:space="preserve">2. </w:t>
      </w:r>
      <w:r>
        <w:rPr>
          <w:rFonts w:ascii="Calibri" w:hAnsi="Calibri"/>
          <w:b w:val="0"/>
          <w:color w:val="3A4A28"/>
          <w:sz w:val="20"/>
        </w:rPr>
        <w:t>Continued net insider selling through 2026 ($12.5M, $6.9M, and $3.6M in separate disclosed dispositions) offers no insider-conviction signal to offset the bullish guidance narrative [3]</w:t>
      </w:r>
    </w:p>
    <w:p>
      <w:pPr>
        <w:spacing w:before="40" w:after="40"/>
        <w:ind w:left="283"/>
      </w:pPr>
      <w:r>
        <w:rPr>
          <w:rFonts w:ascii="Calibri" w:hAnsi="Calibri"/>
          <w:b/>
          <w:color w:val="4A6B25"/>
          <w:sz w:val="20"/>
        </w:rPr>
        <w:t xml:space="preserve">3. </w:t>
      </w:r>
      <w:r>
        <w:rPr>
          <w:rFonts w:ascii="Calibri" w:hAnsi="Calibri"/>
          <w:b w:val="0"/>
          <w:color w:val="3A4A28"/>
          <w:sz w:val="20"/>
        </w:rPr>
        <w:t>Commercial construction cyclicality and tariff exposure across JCI's 150+-country footprint could pressure new Systems orders if data-center capex growth decelerates or interest rates weigh on broader non-residential construction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JCI's core business — manufacturing, installing, and servicing physical HVAC, fire-suppression, and security systems — requires licensed technicians, physical equipment, and regulatory compliance that AI cannot structurally replace, and the record $21B backlog provides multi-year revenue visibility largely insulated from software disruption [1]. AI is a direct net positive for JCI's addressable market: the current data-center construction boom, driven substantially by AI infrastructure buildout, pushed Q3 FY2026 Systems orders up 40% organically, meaning AI adoption is expanding rather than threatening JCI's core demand [1]. AI Opportunity (1/1): The OpenBlue platform generates AI-driven predictive-maintenance and energy-optimization revenue from commercial clients, and two JCI leaders were named to the AI 150 list for leading this transformation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Johnson Controls Q3 FY2026 earnings release and call — revenue $6.6B (+9%), organic sales +10%, adjusted EPS $1.42 (+35% YoY, beat $1.29 est.), record $21B backlog (+32% YoY), organic orders +27% (Systems +40%), raised FY2026 guidance (organic revenue ~8%, adjusted EPS ~$5.05), Investing.com/GuruFocus/PRNewswire, July 2026</w:t>
      </w:r>
    </w:p>
    <w:p>
      <w:pPr>
        <w:spacing w:before="20" w:after="20"/>
        <w:ind w:left="170"/>
      </w:pPr>
      <w:r>
        <w:rPr>
          <w:rFonts w:ascii="Calibri" w:hAnsi="Calibri"/>
          <w:b/>
          <w:color w:val="4A6B25"/>
          <w:sz w:val="15"/>
        </w:rPr>
        <w:t xml:space="preserve">2. </w:t>
      </w:r>
      <w:r>
        <w:rPr>
          <w:rFonts w:ascii="Calibri" w:hAnsi="Calibri"/>
          <w:b w:val="0"/>
          <w:color w:val="3A4A28"/>
          <w:sz w:val="17"/>
        </w:rPr>
        <w:t>Johnson Controls leadership — CEO Joakim Weidemanis (since March 2025, ex-Danaher), stated alignment with 140-year mission-driven culture, OpenBlue AI platform, AI 150 list recognition, TMA/PRNewswire, 2025-2026</w:t>
      </w:r>
    </w:p>
    <w:p>
      <w:pPr>
        <w:spacing w:before="20" w:after="20"/>
        <w:ind w:left="170"/>
      </w:pPr>
      <w:r>
        <w:rPr>
          <w:rFonts w:ascii="Calibri" w:hAnsi="Calibri"/>
          <w:b/>
          <w:color w:val="4A6B25"/>
          <w:sz w:val="15"/>
        </w:rPr>
        <w:t xml:space="preserve">3. </w:t>
      </w:r>
      <w:r>
        <w:rPr>
          <w:rFonts w:ascii="Calibri" w:hAnsi="Calibri"/>
          <w:b w:val="0"/>
          <w:color w:val="3A4A28"/>
          <w:sz w:val="17"/>
        </w:rPr>
        <w:t>Johnson Controls portfolio and insider activity — sale of Residential &amp; Light Commercial HVAC business to Bosch (2025-2026) following 2019 Power Solutions divestiture; Glassdoor 3.7/5 rating with persistent high-turnover complaints; insider selling ($12.5M May 2026, $6.9M net Feb 2026, $3.6M Aug 2026), TipRanks/Yahoo Finance/Glassdoor, 2026</w:t>
      </w:r>
    </w:p>
    <w:p>
      <w:pPr>
        <w:spacing w:before="20" w:after="20"/>
        <w:ind w:left="170"/>
      </w:pPr>
      <w:r>
        <w:rPr>
          <w:rFonts w:ascii="Calibri" w:hAnsi="Calibri"/>
          <w:b/>
          <w:color w:val="4A6B25"/>
          <w:sz w:val="15"/>
        </w:rPr>
        <w:t xml:space="preserve">4. </w:t>
      </w:r>
      <w:r>
        <w:rPr>
          <w:rFonts w:ascii="Calibri" w:hAnsi="Calibri"/>
          <w:b w:val="0"/>
          <w:color w:val="3A4A28"/>
          <w:sz w:val="17"/>
        </w:rPr>
        <w:t>Johnson Controls ESG — 27% of manufacturing sites at Zero Landfill status, 91% renewable purchased electricity, UN Global Compact signatory since 2004, no material controversies identified, 2025-2026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StockAnalysis — JCI key statistics: stock price $141.82, forward P/E 23.51x, trailing PEG 1.63, ROE 14.33%, D/E 70.11%, dividend yield 1.13%, avg daily volume 4.0M,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