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JEF</w:t>
      </w:r>
      <w:r>
        <w:rPr>
          <w:rFonts w:ascii="Calibri" w:hAnsi="Calibri"/>
          <w:b/>
          <w:color w:val="1A2010"/>
          <w:sz w:val="40"/>
        </w:rPr>
        <w:t xml:space="preserve">  Jefferies Financial Group Inc.</w:t>
      </w:r>
    </w:p>
    <w:p>
      <w:pPr>
        <w:spacing w:after="120"/>
      </w:pPr>
      <w:r>
        <w:rPr>
          <w:rFonts w:ascii="Calibri" w:hAnsi="Calibri"/>
          <w:b/>
          <w:color w:val="6E8450"/>
          <w:sz w:val="18"/>
        </w:rPr>
        <w:t>DIVIDEND SLEEVE · 2026-09-05 · Inspire: 33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Capital Markets · NYSE · United States</w:t>
      </w:r>
    </w:p>
    <w:p>
      <w:pPr>
        <w:spacing w:after="80"/>
      </w:pPr>
      <w:r>
        <w:rPr>
          <w:rFonts w:ascii="Calibri" w:hAnsi="Calibri"/>
          <w:b w:val="0"/>
          <w:color w:val="3A4A28"/>
          <w:sz w:val="20"/>
        </w:rPr>
        <w:t>Jefferies Financial Group Inc. is a diversified financial services company engaged in investment banking, capital markets, and asset management. The company provides advisory, equity and debt underwriting, sales and trading, and research services to corporations, governments, and institutional investors worldwide. Under CEO Rich Handler (the longest-serving CEO on Wall Street with 25+ years in the role), Jefferies has transformed from a regional trading firm into a global full-service investment bank competing directly with Goldman Sachs and Morgan Stanley. The SMBC alliance (up to 20% ownership) expands the company's global reach.</w:t>
      </w:r>
    </w:p>
    <w:p>
      <w:r>
        <w:rPr>
          <w:rFonts w:ascii="Calibri" w:hAnsi="Calibri"/>
          <w:b/>
          <w:color w:val="6E8450"/>
          <w:sz w:val="18"/>
        </w:rPr>
        <w:t>7,371 Employees · https://www.jefferies.com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Jefferies has undergone a transformative evolution from a regional energy trading firm to a global full-service investment bank, with Q2 2026 delivering record investment banking net revenues of $1.21B (up 57% YoY), record equities revenues of $601M, and record advisory performance [1]. The SMBC strategic alliance (up to 20% ownership) represents a significant partnership that expanded Jefferies' global capabilities and capital base. However, the core business remains investment banking and trading -- no entirely new business model or product category has been created. AI Deployment (1/2): Jefferies is deploying AI marketmaking engines combining algorithmic and human-driven trading, with 50% of IT leveraging accelerators to achieve faster time to market [3]. Tools have been deployed to automate daily employee tasks and increase productivity. However, no specific revenue figures or quantified cost savings from AI have been publicly reported. Market Share (1/2): Jefferies is the fastest-growing independent investment bank by market share, with record advisory revenues and sustained share gains across most sectors of the global M&amp;A market [1][3]. However, the company remains significantly smaller than bulge-bracket peers Goldman Sachs and Morgan Stanley in absolute terms. Product Pipeline (1/2): The SMBC alliance continues to expand Jefferies' addressable market, and global M&amp;A volumes are forecast to rebound sharply in 2026, creating advisory opportunities [3]. General visibility into continued market share gains but no specific next-generation product launches announced with timelines. R&amp;D Intensity (0/1): Financial services companies do not report traditional R&amp;D spending. No technology investment figures cited as a percentage of revenue.</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Jefferies positions itself as a client-focused, independent investment bank built on meritocracy and culture as competitive advantage. CEO Rich Handler's leadership philosophy emphasizes empathy (shaped by his personal experience being bullied) and inclusive culture, which is thoughtful and distinctive for Wall Street but not articulated as a transformative purpose beyond building a great financial services firm [4]. Community Impact (0/2): No specific charitable programs, foundation activities, or quantified community investment identified in public materials [4]. Employee Retention (1/2): Exceptional leadership continuity -- Rich Handler has been CEO for 25+ years (longest-serving on Wall Street), Brian Friedman has been at the firm for 26 years, and the senior management team has been remarkably stable [4]. This suggests a culture that retains top leadership, though no specific firm-wide turnover or tenure data was identified for the 7,371 employees. Insider Buying (2/2): Extraordinary insider alignment -- Handler, Friedman, Chairman Joe Steinberg, the senior management team, the Board, and joint venture partners collectively own approximately 35% of the company [4]. This is one of the highest insider ownership percentages among major financial institutions and represents a powerful signal that leadership's economic interests are aligned with shareholders.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Jefferies delivered exceptional Q2 2026 results with net revenues of $2.21B, investment banking revenues of $1.21B (+57% YoY), record equities revenues of $601M, and diluted EPS of $1.02 [1]. TTM revenue of $8.34B represents ~20% growth, scoring at maximum. Forward PE of 13.33 is well below the 20x target. ROE of 8.27% is below the 15% target (scoring 0.55) and net profit margin of 10.77% is below the 20% target (scoring 0.54), reflecting the inherently capital-intensive investment banking model [5]. D/E of 343.7% exceeds the 300% floor, scoring 0 — inherent to investment banking's leveraged balance sheet and not indicative of distress. Payout ratio of ~44% is near the 40% target with strong dividend history (12 consecutive years paid, ~10% 5yr CAGR). Revenue growth 5yr CAGR of ~8% scores 0.87. Mechanical calculation on 10 available metrics yields weighted sum 9.39 / max 12.0 = 7.8, rounded to 8. Liquidity is ample at ~$125M daily dollar volume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Jefferies under Rich Handler is a compelling case of infinite-game leadership in a notoriously finite industry. Handler's 25+ year tenure as CEO -- the longest on Wall Street -- his personal philosophy shaped by empathy, and 35% collective insider ownership demonstrate genuine long-term commitment. The multi-decade transformation from a regional trading firm to a global competitor was driven by a vision of building a different kind of Wall Street firm, not by quarterly earnings optimization. However, the investment banking industry's inherently competitive, deal-driven culture creates tension with fully infinite thinking, and Jefferies' language around 'competing directly against Goldman Sachs and Morgan Stanley' sometimes reflects finite framing.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Handler has articulated a genuine purpose for Jefferies -- building a meritocratic, culture-driven investment bank that competes with the largest firms on Wall Street through superior client service and employee empowerment [4]. His personal story of being bullied and channeling that experience into empathy-driven leadership provides an authentic foundation. The 35% insider ownership ensures economic alignment with this purpose. However, the cause has not been tested through the kind of multi-decade crisis that validates a true Just Cause (the firm navigated 2008 but was a smaller player then), and the purpose -- building a great investment bank -- is ultimately about the company's success rather than a vision of a better future state beyond Jefferies itself.</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Handler's emphasis on culture as Jefferies' competitive advantage and his empathy-driven leadership philosophy suggest a genuinely trust-oriented environment at the senior level [4]. The extraordinary leadership stability -- Handler (25+ years), Friedman (26 years), and a stable senior management team -- indicates that people stay because they believe in the mission. However, Wall Street firms inherently operate with competitive internal dynamics around compensation, deal credit, and promotion, which create tension with full psychological safety. No specific employee satisfaction, turnover, or empowerment data was found for the 7,371-person workforce.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Handler has explicitly positioned Goldman Sachs and Morgan Stanley as the firms Jefferies competes against, but his approach reflects respect for their strengths rather than a desire to destroy them [4]. The company's competitive strategy focuses on what makes Jefferies distinctive -- culture, agility, client focus -- rather than attacking competitors' weaknesses. Handler's 36-year commitment to building Jefferies' own capabilities rather than mimicking or undermining rivals embodies the worthy-rival mindset.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Jefferies has evolved significantly over Handler's tenure -- from a regional energy trading firm to a diversified financial services conglomerate (under Leucadia National) and then refocused into a pure-play global investment bank [4]. The SMBC alliance at 20% ownership represents a bold strategic partnership that fundamentally expanded the firm's global capabilities. These shifts demonstrate meaningful strategic adaptation. However, the evolution has been gradual and incremental rather than a single dramatic pivot that abandoned a core business in service of a higher purpose.</w:t>
      </w:r>
    </w:p>
    <w:p>
      <w:pPr>
        <w:spacing w:before="200" w:after="40"/>
      </w:pPr>
      <w:r>
        <w:rPr>
          <w:rFonts w:ascii="Calibri" w:hAnsi="Calibri"/>
          <w:b/>
          <w:color w:val="1A2010"/>
          <w:sz w:val="22"/>
        </w:rPr>
        <w:t>Courage To Lead</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(2/2): Handler has demonstrated a pattern of courageous leadership over 25+ years. Transforming Jefferies from a regional firm into a global competitor required years of investment in talent, infrastructure, and client relationships without guaranteed returns [4]. The SMBC alliance -- selling 20% of the company to a strategic partner -- was a bold bet on global scale over independence. During the 2008 financial crisis, Jefferies survived as a smaller independent while larger competitors collapsed or merged. Handler's willingness to invest in market share gains even during cyclical downturns (2022-2023 banking downturn) and his consistent prioritization of culture and talent over short-term cost-cutting reflect genuine courage to lead for the long term.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Jefferies Financial Group is firing on all cylinders, delivering record Q2 2026 results with investment banking net revenues of $1.21B (up 57% YoY), record equities revenues of $601M, and diluted EPS of $1.02 versus $0.40 a year earlier [1]. The company is the fastest-growing independent investment bank by market share, with sustained gains across Advisory, Equity Underwriting, and Capital Markets. At 13.33x forward earnings and 1.42x PEG, JEF trades at a meaningful discount to bulge-bracket peers despite delivering ~20% TTM revenue growth. The 2.93% dividend yield is well-covered by a ~44% payout ratio with 12 consecutive years of payment and ~10% 5yr dividend growth CAGR. The SMBC strategic alliance (up to 20% ownership) provides a global distribution network and additional capital, while 35% insider ownership ensures exceptional management alignment with shareholders [4].</w:t>
      </w:r>
    </w:p>
    <w:p>
      <w:pPr>
        <w:spacing w:after="120"/>
      </w:pPr>
      <w:r>
        <w:rPr>
          <w:rFonts w:ascii="Calibri" w:hAnsi="Calibri"/>
          <w:b w:val="0"/>
          <w:color w:val="3A4A28"/>
          <w:sz w:val="20"/>
        </w:rPr>
        <w:t>The primary risk is cyclicality -- investment banking revenues are inherently volatile and the record Q2 2026 performance benefits from a global M&amp;A recovery and market share gains that may not be sustainable at this pace [1]. The 343.7% D/E ratio reflects the leveraged balance sheet model inherent to investment banking, which amplifies returns in good markets but creates existential risk in severe downturns (though Jefferies survived 2008 at smaller scale). CEO Handler's compensation of $28.4M (2025) is substantial and may raise governance questions, though it is modest relative to bulge-bracket peers. The company's global M&amp;A advisory pipeline depends on economic conditions, interest rates, and deal-making sentiment -- a recession or renewed market disruption could sharply reduce advisory fees and underwriting revenues. Furthermore, competitive pressure from both bulge-bracket banks and boutique advisory firms continues to intensify, and Jefferies' smaller balance sheet constrains its ability to commit capital to large transactions relative to Goldman Sachs or JPMorgan.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global M&amp;A volume recovery in 2026-2027 with deal values forecast to grow 15%+, driving Jefferies' record advisory franchise to further market share gains across healthcare, industrials, and energy sectors</w:t>
      </w:r>
    </w:p>
    <w:p>
      <w:pPr>
        <w:spacing w:before="40" w:after="40"/>
        <w:ind w:left="283"/>
      </w:pPr>
      <w:r>
        <w:rPr>
          <w:rFonts w:ascii="Calibri" w:hAnsi="Calibri"/>
          <w:b/>
          <w:color w:val="4A6B25"/>
          <w:sz w:val="20"/>
        </w:rPr>
        <w:t xml:space="preserve">2. </w:t>
      </w:r>
      <w:r>
        <w:rPr>
          <w:rFonts w:ascii="Calibri" w:hAnsi="Calibri"/>
          <w:b w:val="0"/>
          <w:color w:val="3A4A28"/>
          <w:sz w:val="20"/>
        </w:rPr>
        <w:t>SMBC alliance deepening with expanded joint capabilities, cross-border deal flow, and potential for Jefferies to access SMBC's Asian client network for investment banking mandates</w:t>
      </w:r>
    </w:p>
    <w:p>
      <w:pPr>
        <w:spacing w:before="40" w:after="40"/>
        <w:ind w:left="283"/>
      </w:pPr>
      <w:r>
        <w:rPr>
          <w:rFonts w:ascii="Calibri" w:hAnsi="Calibri"/>
          <w:b/>
          <w:color w:val="4A6B25"/>
          <w:sz w:val="20"/>
        </w:rPr>
        <w:t xml:space="preserve">3. </w:t>
      </w:r>
      <w:r>
        <w:rPr>
          <w:rFonts w:ascii="Calibri" w:hAnsi="Calibri"/>
          <w:b w:val="0"/>
          <w:color w:val="3A4A28"/>
          <w:sz w:val="20"/>
        </w:rPr>
        <w:t>Capital return acceleration as record earnings power supports dividend growth (3.05% current yield with ~43% payout ratio) and potential share repurchases, with 157.8% EPS growth providing substantial headroom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Investment banking revenues are inherently cyclical -- the record Q2 2026 performance benefits from a post-trough M&amp;A recovery, and a macroeconomic downturn or geopolitical shock could compress advisory and underwriting fees by 30-50% as seen in 2022-2023</w:t>
      </w:r>
    </w:p>
    <w:p>
      <w:pPr>
        <w:spacing w:before="40" w:after="40"/>
        <w:ind w:left="283"/>
      </w:pPr>
      <w:r>
        <w:rPr>
          <w:rFonts w:ascii="Calibri" w:hAnsi="Calibri"/>
          <w:b/>
          <w:color w:val="4A6B25"/>
          <w:sz w:val="20"/>
        </w:rPr>
        <w:t xml:space="preserve">2. </w:t>
      </w:r>
      <w:r>
        <w:rPr>
          <w:rFonts w:ascii="Calibri" w:hAnsi="Calibri"/>
          <w:b w:val="0"/>
          <w:color w:val="3A4A28"/>
          <w:sz w:val="20"/>
        </w:rPr>
        <w:t>D/E of 343.7% reflects the leveraged business model but amplifies downside risk -- a severe market dislocation could pressure capital ratios and limit the firm's ability to commit balance sheet to clients when competitors with stronger capital positions can</w:t>
      </w:r>
    </w:p>
    <w:p>
      <w:pPr>
        <w:spacing w:before="40" w:after="40"/>
        <w:ind w:left="283"/>
      </w:pPr>
      <w:r>
        <w:rPr>
          <w:rFonts w:ascii="Calibri" w:hAnsi="Calibri"/>
          <w:b/>
          <w:color w:val="4A6B25"/>
          <w:sz w:val="20"/>
        </w:rPr>
        <w:t xml:space="preserve">3. </w:t>
      </w:r>
      <w:r>
        <w:rPr>
          <w:rFonts w:ascii="Calibri" w:hAnsi="Calibri"/>
          <w:b w:val="0"/>
          <w:color w:val="3A4A28"/>
          <w:sz w:val="20"/>
        </w:rPr>
        <w:t>Competitive intensity from both bulge-bracket banks (Goldman Sachs, Morgan Stanley with $1T+ balance sheets) and elite boutiques (Evercore, Lazard, Centerview) squeezes Jefferies from both sides, potentially capping market share gains as the advisory market normalizes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Jefferies' core investment banking advisory business is relationship-driven and deeply protected from AI disruption -- M&amp;A advisory, complex capital raising, and strategic counsel to C-suites require human judgment, trust, and negotiation skills that AI cannot replicate [3]. The firm's 25-year client relationships, sector expertise, and global institutional network represent moats that AI structurally cannot substitute. However, some business lines face meaningful AI pressure: equity research could be partially automated, algorithmic trading is increasingly commoditized, and back-office compliance and documentation functions are prime targets for AI automation. Competitors deploying AI more aggressively in trading and research could gain cost advantages. AI Opportunity (1/1): Jefferies is actively deploying AI marketmaking engines that combine algorithmic and human-driven trading strategies, and 50% of IT is leveraging AI accelerators to achieve faster time to market [3]. While no specific AI revenue figures are quantified, these deployments are generating measurable productivity improvements and competitive advantages in capital markets execution.</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33</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Systemic Risk Mitigation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Jefferies Financial Group Q2 2026 Earnings Release and Record Results -- SEC Form 8-K, June 2026</w:t>
      </w:r>
    </w:p>
    <w:p>
      <w:pPr>
        <w:spacing w:before="20" w:after="20"/>
        <w:ind w:left="170"/>
      </w:pPr>
      <w:r>
        <w:rPr>
          <w:rFonts w:ascii="Calibri" w:hAnsi="Calibri"/>
          <w:b/>
          <w:color w:val="4A6B25"/>
          <w:sz w:val="15"/>
        </w:rPr>
        <w:t xml:space="preserve">2. </w:t>
      </w:r>
      <w:r>
        <w:rPr>
          <w:rFonts w:ascii="Calibri" w:hAnsi="Calibri"/>
          <w:b w:val="0"/>
          <w:color w:val="3A4A28"/>
          <w:sz w:val="17"/>
        </w:rPr>
        <w:t>Jefferies Financial Group 2026 Proxy Statement -- Net Revenues, SMBC Alliance, Board Elections, January 2026</w:t>
      </w:r>
    </w:p>
    <w:p>
      <w:pPr>
        <w:spacing w:before="20" w:after="20"/>
        <w:ind w:left="170"/>
      </w:pPr>
      <w:r>
        <w:rPr>
          <w:rFonts w:ascii="Calibri" w:hAnsi="Calibri"/>
          <w:b/>
          <w:color w:val="4A6B25"/>
          <w:sz w:val="15"/>
        </w:rPr>
        <w:t xml:space="preserve">3. </w:t>
      </w:r>
      <w:r>
        <w:rPr>
          <w:rFonts w:ascii="Calibri" w:hAnsi="Calibri"/>
          <w:b w:val="0"/>
          <w:color w:val="3A4A28"/>
          <w:sz w:val="17"/>
        </w:rPr>
        <w:t>Jefferies Financial Group AI Technology Strategy and Public Tech Conference -- Annual Report, Jefferies.com, 2025-2026</w:t>
      </w:r>
    </w:p>
    <w:p>
      <w:pPr>
        <w:spacing w:before="20" w:after="20"/>
        <w:ind w:left="170"/>
      </w:pPr>
      <w:r>
        <w:rPr>
          <w:rFonts w:ascii="Calibri" w:hAnsi="Calibri"/>
          <w:b/>
          <w:color w:val="4A6B25"/>
          <w:sz w:val="15"/>
        </w:rPr>
        <w:t xml:space="preserve">4. </w:t>
      </w:r>
      <w:r>
        <w:rPr>
          <w:rFonts w:ascii="Calibri" w:hAnsi="Calibri"/>
          <w:b w:val="0"/>
          <w:color w:val="3A4A28"/>
          <w:sz w:val="17"/>
        </w:rPr>
        <w:t>Rich Handler CEO Profile and Leadership Philosophy -- BBN Times, Simply Wall St, Salary.com, 2025-2026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JEF Key Statistics and Financial Data, accessed July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