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JEM</w:t>
      </w:r>
      <w:r>
        <w:rPr>
          <w:rFonts w:ascii="Calibri" w:hAnsi="Calibri"/>
          <w:b/>
          <w:color w:val="1A2010"/>
          <w:sz w:val="40"/>
        </w:rPr>
        <w:t xml:space="preserve">  707 Cayman Holdings Limited</w:t>
      </w:r>
    </w:p>
    <w:p>
      <w:pPr>
        <w:spacing w:after="120"/>
      </w:pPr>
      <w:r>
        <w:rPr>
          <w:rFonts w:ascii="Calibri" w:hAnsi="Calibri"/>
          <w:b/>
          <w:color w:val="6E8450"/>
          <w:sz w:val="18"/>
        </w:rPr>
        <w:t>GROWTH SLEEVE · 2026-10-09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Apparel Retail · NCM · Hong Kong</w:t>
      </w:r>
    </w:p>
    <w:p>
      <w:pPr>
        <w:spacing w:after="80"/>
      </w:pPr>
      <w:r>
        <w:rPr>
          <w:rFonts w:ascii="Calibri" w:hAnsi="Calibri"/>
          <w:b w:val="0"/>
          <w:color w:val="3A4A28"/>
          <w:sz w:val="20"/>
        </w:rPr>
        <w:t>707 Cayman Holdings Limited sells and distributes fashion apparel products including denim, athleisure, sweater, leather, outerwear, knitwear, and pet lines to mid-sized brand owners and apparel companies. Operating an asset-light model using third-party manufacturers, the company provides market trend analysis, design and product development, sourcing, production management, quality control, and logistics services [2]. The company reported FY2025 revenue of approximately HK$106.9M ($13.7M USD) with an operating loss of HK$40.1M and a -124.8% profit margin [2]. Founded in 2021 and headquartered in San Po Kong, Hong Kong, 707 Cayman IPO'd on NASDAQ in 2026 and has a micro-cap market capitalization of approximately $2.4M following a July 2026 share consolidation [3].</w:t>
      </w:r>
    </w:p>
    <w:p>
      <w:r>
        <w:rPr>
          <w:rFonts w:ascii="Calibri" w:hAnsi="Calibri"/>
          <w:b/>
          <w:color w:val="6E8450"/>
          <w:sz w:val="18"/>
        </w:rPr>
        <w:t>https://www.707limited.com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707 Cayman operates as a traditional fashion apparel distributor with no evidence of product innovation, market pivots, or business model transformation since its 2021 founding [2]. The company provides commodity supply chain services (sourcing, quality control, logistics) that are interchangeable with hundreds of competitors in the Hong Kong apparel intermediary market. AI Deployment (0/2): No evidence of AI-powered products, AI-driven cost savings, or any technology deployment beyond basic business operations [2]. Market Share (0/2): A micro-cap company with $13.7M in annual revenue and no identifiable market share in the global fashion apparel distribution industry, which is highly fragmented with thousands of competitors [2]. Product Pipeline (0/2): The company signed a term sheet to acquire Crucial Innovation Inc. in August 2026 with $10.25M in financing from GeoNova Holdings, but no details on the acquisition target's business, timeline, or revenue potential are available [4]. R&amp;D Intensity (0/1): No evidence of R&amp;D spending. The company's asset-light distribution model involves no proprietary technology or product development investment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No distinctive mission, purpose, or vision statement found for 707 Cayman Holdings. The company's public materials describe its business activities — selling and distributing fashion apparel — without articulating any deeper purpose beyond commercial operations [2]. This is a boilerplate business description interchangeable with any apparel distributor. Community Impact (0/2): No evidence of charitable programs, community investment, or philanthropic activities [2]. Employee Retention (0/2): Employee count is not disclosed, and no retention or tenure data is available for this micro-cap company [2]. Insider Buying (0/2): No evidence of insider buying. CEO Lui Cheung's insider transaction history is not available in public sources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0 due to the LIQUIDITY FLOOR. While yfinance reports an average daily volume of 1.13M shares, this figure is inflated by pre-consolidation trading data — the company executed a share consolidation on July 14, 2026, dramatically reducing share count [3]. Recent daily volume of approximately 17,880 shares at $3.46 yields daily dollar volume of approximately $62,000, far below the $1,000,000 threshold [3]. The $2.4M market capitalization is smaller than typical daily trading volumes of liquid stocks, confirming extreme illiquidity. Even excluding the liquidity floor, financial metrics are catastrophic: ROE of -409.7% (score 0.0), profit margin of -124.8% (score 0.0), revenue growth YoY of -22.5% (score 0.0, below -20% floor), with no forward PE or PEG available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707 Cayman Holdings shows no evidence of infinite game thinking in any dimension. Founded in 2021, the company is a tiny apparel distributor with no articulated purpose beyond commercial operations, no evidence of courageous leadership decisions, no data on organizational trust, no strategic flexibility beyond a vaguely described acquisition, and no evidence of using competitive dynamics for self-improvement. The company appears to exist solely for commercial transactions with no broader mission or long-term orientation.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707 Cayman exists to distribute fashion apparel to mid-sized brands — a purely commercial activity with no articulated vision of a better future, no stated purpose beyond profit, and no mission that would inspire sacrifice or long-term commitment from employees or stakeholders [2]. The company's website and SEC filings describe only its business activities.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available on organizational culture, employee engagement, leadership continuity, or internal trust dynamics for this micro-cap company [2]. The company does not disclose employee count or any human capital metrics. The lack of transparency on workforce composition and culture for a public company, combined with a -124.8% profit margin and operational losses, suggests an organization under financial stress where trust is difficult to maintain.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the company acknowledging competitors' strengths or framing competition in terms of self-improvement. The global fashion apparel distribution market is highly fragmented, and 707 Cayman makes no public statements about competitive positioning or learning from rivals [2].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was founded in 2021 and has not faced or navigated any strategic inflection point. The August 2026 announcement of a term sheet to acquire Crucial Innovation Inc. could represent strategic evolution, but no details on the target's business or strategic rationale are available to assess whether this represents meaningful flexibility [4]. The core business model has not changed since founding.</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sacrificing near-term results for future capability, or taking principled stances that cost money. The company has operated with persistent losses (-124.8% profit margin) without visible strategic investment that would justify the financial performance [2]. The decision to IPO on NASDAQ as a micro-cap with a $2.4M market capitalization does not constitute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707 Cayman Holdings at $3.46 with a $2.4M market capitalization is a micro-cap Hong Kong apparel distributor that generated HK$106.9M ($13.7M) in FY2025 revenue with an operating loss of HK$40.1M [2]. The sole speculative upside is the August 2026 term sheet to acquire Crucial Innovation Inc. with $10.25M in financing from GeoNova Holdings, which could transform the company if the target brings meaningful revenue or technology capabilities [4]. The company's FY2025 interim results showed 19.9% revenue growth in H1 2025 vs. H1 2024, suggesting some underlying business momentum before the annual figure deteriorated [3]. The asset-light model (no manufacturing facilities) limits downside risk to some degree.</w:t>
      </w:r>
    </w:p>
    <w:p>
      <w:pPr>
        <w:spacing w:after="120"/>
      </w:pPr>
      <w:r>
        <w:rPr>
          <w:rFonts w:ascii="Calibri" w:hAnsi="Calibri"/>
          <w:b w:val="0"/>
          <w:color w:val="3A4A28"/>
          <w:sz w:val="20"/>
        </w:rPr>
        <w:t>The bear case is overwhelming for IOWN screening purposes. With a $2.4M market cap, -124.8% profit margin, -409.7% ROE, and recent daily volume of approximately $62,000, this stock is functionally uninvestable for any portfolio of meaningful size [2][3]. Revenue declined 22.5% in the most recent period, the company has been public for less than a year, and there is virtually no analyst coverage, institutional ownership, or liquidity. The July 2026 share consolidation and the wide discrepancy between average and recent trading volumes suggest structural issues with the stock's trading profile. The proposed acquisition of Crucial Innovation Inc. lacks any disclosed details about the target company's business, creating significant execution risk. As a Cayman Islands-incorporated, Hong Kong-headquartered entity listed on NASDAQ Capital Market, the company carries jurisdictional and governance risks with minimal regulatory oversight and no independent coverage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acquisition of Crucial Innovation Inc. — if the target brings meaningful revenue, technology, or market access, the transaction could fundamentally transform 707 Cayman from a micro-cap apparel distributor into a more diversified business [4]</w:t>
      </w:r>
    </w:p>
    <w:p>
      <w:pPr>
        <w:spacing w:before="40" w:after="40"/>
        <w:ind w:left="283"/>
      </w:pPr>
      <w:r>
        <w:rPr>
          <w:rFonts w:ascii="Calibri" w:hAnsi="Calibri"/>
          <w:b/>
          <w:color w:val="4A6B25"/>
          <w:sz w:val="20"/>
        </w:rPr>
        <w:t xml:space="preserve">2. </w:t>
      </w:r>
      <w:r>
        <w:rPr>
          <w:rFonts w:ascii="Calibri" w:hAnsi="Calibri"/>
          <w:b w:val="0"/>
          <w:color w:val="3A4A28"/>
          <w:sz w:val="20"/>
        </w:rPr>
        <w:t>Southeast Asia apparel market expansion — management discussed expansion plans in a recent earnings call, and the company's Hong Kong base could position it to serve growing Southeast Asian brand customers [3]</w:t>
      </w:r>
    </w:p>
    <w:p>
      <w:pPr>
        <w:spacing w:before="40" w:after="40"/>
        <w:ind w:left="283"/>
      </w:pPr>
      <w:r>
        <w:rPr>
          <w:rFonts w:ascii="Calibri" w:hAnsi="Calibri"/>
          <w:b/>
          <w:color w:val="4A6B25"/>
          <w:sz w:val="20"/>
        </w:rPr>
        <w:t xml:space="preserve">3. </w:t>
      </w:r>
      <w:r>
        <w:rPr>
          <w:rFonts w:ascii="Calibri" w:hAnsi="Calibri"/>
          <w:b w:val="0"/>
          <w:color w:val="3A4A28"/>
          <w:sz w:val="20"/>
        </w:rPr>
        <w:t>Revenue stabilization and return to growth — the H1 2025 interim results showed 19.9% revenue growth, suggesting underlying demand exists if the company can reverse the FY2025 annual decline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illiquidity with recent daily dollar volume of approximately $62,000 and a $2.4M market cap — functionally impossible to build or exit a meaningful position without moving the stock price significantly [3]</w:t>
      </w:r>
    </w:p>
    <w:p>
      <w:pPr>
        <w:spacing w:before="40" w:after="40"/>
        <w:ind w:left="283"/>
      </w:pPr>
      <w:r>
        <w:rPr>
          <w:rFonts w:ascii="Calibri" w:hAnsi="Calibri"/>
          <w:b/>
          <w:color w:val="4A6B25"/>
          <w:sz w:val="20"/>
        </w:rPr>
        <w:t xml:space="preserve">2. </w:t>
      </w:r>
      <w:r>
        <w:rPr>
          <w:rFonts w:ascii="Calibri" w:hAnsi="Calibri"/>
          <w:b w:val="0"/>
          <w:color w:val="3A4A28"/>
          <w:sz w:val="20"/>
        </w:rPr>
        <w:t>Persistent operational losses with -124.8% profit margin and -409.7% ROE — the company burns cash faster than it generates revenue, and continued losses could lead to dilutive capital raises or business failure [2]</w:t>
      </w:r>
    </w:p>
    <w:p>
      <w:pPr>
        <w:spacing w:before="40" w:after="40"/>
        <w:ind w:left="283"/>
      </w:pPr>
      <w:r>
        <w:rPr>
          <w:rFonts w:ascii="Calibri" w:hAnsi="Calibri"/>
          <w:b/>
          <w:color w:val="4A6B25"/>
          <w:sz w:val="20"/>
        </w:rPr>
        <w:t xml:space="preserve">3. </w:t>
      </w:r>
      <w:r>
        <w:rPr>
          <w:rFonts w:ascii="Calibri" w:hAnsi="Calibri"/>
          <w:b w:val="0"/>
          <w:color w:val="3A4A28"/>
          <w:sz w:val="20"/>
        </w:rPr>
        <w:t>No analyst coverage, no institutional ownership, and minimal public disclosure — the company operates with almost no independent oversight, creating significant information asymmetry and governance risk for investors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707 Cayman's core business — physical apparel sourcing, production management, quality control, and logistics — involves hands-on supply chain activities that AI cannot easily replace [2]. The company's value proposition centers on managing physical manufacturing relationships with third-party factories, inspecting garment quality, and coordinating shipments across Hong Kong, Western Europe, North America, and the Middle East. AI could automate some design and trend analysis functions, but the physical coordination of apparel manufacturing and distribution requires human judgment and on-the-ground relationships. However, the company's scale is so small that AI-driven platforms could potentially disintermediate its services by connecting brands directly with manufacturers. AI Opportunity (0/1): No evidence of AI deployment, AI products, or AI-driven revenue. The company operates with traditional business processes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707 Cayman Holdings F-1/A Registration Statement — SEC Filing, Revenue History FY2023-FY2025, EDGAR CIK 0002018222, 2026</w:t>
      </w:r>
    </w:p>
    <w:p>
      <w:pPr>
        <w:spacing w:before="20" w:after="20"/>
        <w:ind w:left="170"/>
      </w:pPr>
      <w:r>
        <w:rPr>
          <w:rFonts w:ascii="Calibri" w:hAnsi="Calibri"/>
          <w:b/>
          <w:color w:val="4A6B25"/>
          <w:sz w:val="15"/>
        </w:rPr>
        <w:t xml:space="preserve">2. </w:t>
      </w:r>
      <w:r>
        <w:rPr>
          <w:rFonts w:ascii="Calibri" w:hAnsi="Calibri"/>
          <w:b w:val="0"/>
          <w:color w:val="3A4A28"/>
          <w:sz w:val="17"/>
        </w:rPr>
        <w:t>707 Cayman Holdings FY2025 Annual Report (20-F) — Revenue HK$106.9M, Operating Loss HK$40.1M, Filed January 2026</w:t>
      </w:r>
    </w:p>
    <w:p>
      <w:pPr>
        <w:spacing w:before="20" w:after="20"/>
        <w:ind w:left="170"/>
      </w:pPr>
      <w:r>
        <w:rPr>
          <w:rFonts w:ascii="Calibri" w:hAnsi="Calibri"/>
          <w:b/>
          <w:color w:val="4A6B25"/>
          <w:sz w:val="15"/>
        </w:rPr>
        <w:t xml:space="preserve">3. </w:t>
      </w:r>
      <w:r>
        <w:rPr>
          <w:rFonts w:ascii="Calibri" w:hAnsi="Calibri"/>
          <w:b w:val="0"/>
          <w:color w:val="3A4A28"/>
          <w:sz w:val="17"/>
        </w:rPr>
        <w:t>TipRanks — 707 Cayman Holdings H1 2025 Interim Results (+19.9% Revenue Growth), Share Consolidation July 14 2026</w:t>
      </w:r>
    </w:p>
    <w:p>
      <w:pPr>
        <w:spacing w:before="20" w:after="20"/>
        <w:ind w:left="170"/>
      </w:pPr>
      <w:r>
        <w:rPr>
          <w:rFonts w:ascii="Calibri" w:hAnsi="Calibri"/>
          <w:b/>
          <w:color w:val="4A6B25"/>
          <w:sz w:val="15"/>
        </w:rPr>
        <w:t xml:space="preserve">4. </w:t>
      </w:r>
      <w:r>
        <w:rPr>
          <w:rFonts w:ascii="Calibri" w:hAnsi="Calibri"/>
          <w:b w:val="0"/>
          <w:color w:val="3A4A28"/>
          <w:sz w:val="17"/>
        </w:rPr>
        <w:t>707 Cayman Holdings — Crucial Innovation Inc. Acquisition Term Sheet, $10.25M GeoNova Financing,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