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JHG</w:t>
      </w:r>
      <w:r>
        <w:rPr>
          <w:rFonts w:ascii="Calibri" w:hAnsi="Calibri"/>
          <w:b/>
          <w:color w:val="1A2010"/>
          <w:sz w:val="40"/>
        </w:rPr>
        <w:t xml:space="preserve">  Janus Henderson Group plc</w:t>
      </w:r>
    </w:p>
    <w:p>
      <w:pPr>
        <w:spacing w:after="120"/>
      </w:pPr>
      <w:r>
        <w:rPr>
          <w:rFonts w:ascii="Calibri" w:hAnsi="Calibri"/>
          <w:b/>
          <w:color w:val="6E8450"/>
          <w:sz w:val="18"/>
        </w:rPr>
        <w:t>DIVIDEND SLEEVE · 2026-09-05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Kingdom</w:t>
      </w:r>
    </w:p>
    <w:p>
      <w:pPr>
        <w:spacing w:after="80"/>
      </w:pPr>
      <w:r>
        <w:rPr>
          <w:rFonts w:ascii="Calibri" w:hAnsi="Calibri"/>
          <w:b w:val="0"/>
          <w:color w:val="3A4A28"/>
          <w:sz w:val="20"/>
        </w:rPr>
        <w:t>Janus Henderson Group plc was a global active asset manager headquartered in London, UK, offering equity, fixed income, multi-asset, and alternative investment solutions to institutional, retail, and high net worth clients. The company managed $479.6B in AUM as of March 2026 across offices in North America, Europe, and Asia-Pacific. Founded in 1934, the modern entity was formed through the 2017 merger of Janus Capital Group and Henderson Global Investors. CRITICAL: Janus Henderson was taken private by Trian Fund Management and General Catalyst at $52.00 per share (all-cash, $7.4B total) on June 30, 2026, and delisted from the NYSE on July 1, 2026. The stock is no longer publicly traded.</w:t>
      </w:r>
    </w:p>
    <w:p>
      <w:r>
        <w:rPr>
          <w:rFonts w:ascii="Calibri" w:hAnsi="Calibri"/>
          <w:b/>
          <w:color w:val="6E8450"/>
          <w:sz w:val="18"/>
        </w:rPr>
        <w:t>2,300 Employees · https://www.janushenderson.com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Ali Dibadj's turnaround, Janus Henderson executed several successful initiatives: the 2025 acquisition of Richard Bernstein Advisors catapulted JHG into the top tier of the Model Portfolio market, the shift from 'star manager' culture to institutionalized investment processes improved consistency, and Q1 2026 revenue grew 11% YoY to $690M [1]. The 2017 Janus-Henderson merger itself was a transformative business combination. However, the take-private by Trian/General Catalyst at $52/share — while providing shareholder value — represents an end to the company's public-market innovation arc [2]. AI Deployment (1/2): Janus Henderson launched the Global Artificial Intelligence ETF (JHAI), an actively managed ETF designed to identify AI-benefiting companies, demonstrating AI thought leadership [3]. The firm also deployed AI tools in investment research and client analytics. However, no specific AI-driven cost savings or revenue figures were quantified. Market Share (1/2): With $479.6B in AUM (March 2026), Janus Henderson was a meaningful but not dominant player in global asset management — smaller than BlackRock ($10T+), Vanguard ($8T+), and Fidelity but a top-20 global manager [1]. The Richard Bernstein Advisors acquisition improved positioning in the fast-growing model portfolio segment. Product Pipeline (1/2): Active ETF launches (including JHAI), model portfolio expansion, and alternatives products provided product innovation. The company was building a multi-channel distribution platform. R&amp;D Intensity (0/1): Asset management is not an R&amp;D-intensive industry. JHG's technology investment was standard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Ali Dibadj articulated a 'client-led' approach to active management, moving away from 'star manager' culture toward institutionalized, repeatable investment processes [3]. This is clear and specific for asset management — it identifies a problem (personality-driven investing) and offers a solution (institutional processes). However, 'being client-led' is ultimately a business strategy rather than a deeper purpose that inspires beyond the obvious. Community Impact (0/2): No evidence of significant charitable programs or community investment was identified beyond standard corporate philanthropy. Employee Retention (0/2): The Trian take-private process created internal cultural concerns — reports indicated investment teams had 'concerns about cultural misalignment, client disruption, and long-term performance risks' related to the deal [3]. An ESOP lawsuit ($6.5M settlement) alleged fiduciary breaches in the employee retirement plan. These suggest trust erosion rather than strong retention. Insider Buying (0/2): No evidence of meaningful net insider buying. The $52/share take-private created a seller dynamic across the shareholder base.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scores 0/10 due to the LIQUIDITY FLOOR hard rule. Janus Henderson was taken private by Trian Fund Management and General Catalyst at $52.00 per share on June 30, 2026, and delisted from the NYSE on July 1, 2026 [2]. As of the screen date (September 5, 2026), the stock has no public market, zero daily trading volume, and cannot be purchased by IOWN or any public investor. Average daily dollar volume is $0, which is below the $1,000,000 liquidity floor. Pre-delisting metrics were serviceable: Forward P/E of 11.28x, revenue growth of 11% YoY, ROE ~8.7%, profit margin ~16.6%, and a 3.08% dividend yield. The $2.9B secured term loan taken on for the take-private substantially altered the capital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Janus Henderson's take-private at $52/share is the quintessential finite game outcome — the company accepted a cash buyout rather than continuing to compete as an independent public entity. While CEO Ali Dibadj's turnaround efforts showed some infinite thinking (client-led strategy, disciplined M&amp;A, long-term product innovation), the willingness to sell to Trian/General Catalyst at a 25% premium reveals finite-game governance. The internal dissent over the deal — investment teams concerned about cultural misalignment — suggests the organization's Just Cause was not strong enough to resist the pull of near-term shareholder value. The $6.5M ESOP lawsuit settlement adds to the finite-game evidence.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Janus Henderson's cause — active management excellence in service of clients — exists but is shallow by Sinek's standards. 'Being client-led' and 'delivering investment outcomes' are business strategies, not a vision of a future state so compelling that people would sacrifice to advance it [3]. The ultimate proof: the company accepted a take-private at $52/share rather than continuing to pursue its cause as an independent entity. A company with a true Just Cause does not sell for a 25% premium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Trian take-private process exposed trust deficits within the organization. Reports indicated internal concerns about 'cultural misalignment, client disruption, and long-term performance risks' from the deal [3]. The $6.5M settlement of an ESOP lawsuit — alleging that fiduciaries breached their duties by stuffing the employee retirement plan with poorly performing proprietary funds — suggests historical trust issues in how leadership treated employees' financial interests [3]. These are markers of a low-trust environment where leadership optimized for its own interests at employees' expense.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Janus Henderson operated in a competitive landscape with formidable worthy rivals — BlackRock, Vanguard, Fidelity, and T. Rowe Price. The company's competitive response under Dibadj was improvement-oriented: launching active ETFs to compete with passive products, acquiring Richard Bernstein Advisors for model portfolios, and building institutional capabilities [3]. The competitive posture was about getting better rather than attacking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2017 Janus-Henderson merger was a significant strategic transformation — combining a U.S.-focused growth-oriented manager (Janus Capital) with a UK-based value-oriented manager (Henderson Global Investors) to create a diversified global platform [4]. Under Dibadj, the company evolved from a star-manager model to an institutional process model and expanded into active ETFs and model portfolios. These represent meaningful but incremental strategic evolution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Dibadj's turnaround required some courage — shifting from a star-manager culture to institutional processes risked alienating top-performing portfolio managers who were the company's biggest revenue generators [3]. The Richard Bernstein Advisors acquisition and AI ETF launch represented strategic bets on the future of active management. However, the ultimate decision to accept the Trian take-private undermines the courage narrative — leadership chose the certain $52/share over the uncertain but potentially more valuable path of independent operation.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Janus Henderson is no longer an investable public security. The company was taken private by Trian Fund Management and General Catalyst at $52.00 per share in an all-cash transaction completed on June 30, 2026 [2]. Shareholders who held through the merger received a 25% premium to the pre-deal stock price. The final public financial profile showed a competent asset manager with $479.6B AUM, 11% revenue growth, and improving margins under CEO Ali Dibadj's turnaround [1]. The forward P/E of 11.28x and 3.08% dividend yield suggested reasonable value, and the Richard Bernstein Advisors acquisition positioned JHG well in the growing model portfolio market.</w:t>
      </w:r>
    </w:p>
    <w:p>
      <w:pPr>
        <w:spacing w:after="120"/>
      </w:pPr>
      <w:r>
        <w:rPr>
          <w:rFonts w:ascii="Calibri" w:hAnsi="Calibri"/>
          <w:b w:val="0"/>
          <w:color w:val="3A4A28"/>
          <w:sz w:val="20"/>
        </w:rPr>
        <w:t>The SELL recommendation reflects the fundamental untradability of a delisted security, not a negative assessment of the company's operations. Investors who did not tender shares at $52.00 should have received the merger consideration as part of the closing process — any residual holdings have no public market [2]. For IOWN purposes, the infrastructure score of 0 (liquidity floor: zero daily volume) renders the stock uninvestable regardless of operational quality. The take-private was financed with $2.9B in secured debt and a $500M revolving credit facility, substantially leveraging the balance sheet — the pre-deal investment case (moderate leverage, dividend income, AUM growth) no longer exists in its prior form. The Inspire Impact Score of -49 (MISALIGNED) would have limited allocation for faith-based investors even if the stock remained public.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None — the stock is delisted and no longer publicly traded following the Trian/General Catalyst take-private at $52.00/share completed June 30, 2026 [2]</w:t>
      </w:r>
    </w:p>
    <w:p>
      <w:pPr>
        <w:spacing w:before="40" w:after="40"/>
        <w:ind w:left="283"/>
      </w:pPr>
      <w:r>
        <w:rPr>
          <w:rFonts w:ascii="Calibri" w:hAnsi="Calibri"/>
          <w:b/>
          <w:color w:val="4A6B25"/>
          <w:sz w:val="20"/>
        </w:rPr>
        <w:t xml:space="preserve">2. </w:t>
      </w:r>
      <w:r>
        <w:rPr>
          <w:rFonts w:ascii="Calibri" w:hAnsi="Calibri"/>
          <w:b w:val="0"/>
          <w:color w:val="3A4A28"/>
          <w:sz w:val="20"/>
        </w:rPr>
        <w:t>Potential future re-IPO — Trian and General Catalyst may seek to re-list the company after a restructuring period, which would create a new public investment opportunity at an unknown future valuation</w:t>
      </w:r>
    </w:p>
    <w:p>
      <w:pPr>
        <w:spacing w:before="40" w:after="40"/>
        <w:ind w:left="283"/>
      </w:pPr>
      <w:r>
        <w:rPr>
          <w:rFonts w:ascii="Calibri" w:hAnsi="Calibri"/>
          <w:b/>
          <w:color w:val="4A6B25"/>
          <w:sz w:val="20"/>
        </w:rPr>
        <w:t xml:space="preserve">3. </w:t>
      </w:r>
      <w:r>
        <w:rPr>
          <w:rFonts w:ascii="Calibri" w:hAnsi="Calibri"/>
          <w:b w:val="0"/>
          <w:color w:val="3A4A28"/>
          <w:sz w:val="20"/>
        </w:rPr>
        <w:t>Industry trend: if the active management renaissance continues and active funds consistently outperform passive strategies, the private JHG could benefit and support a premium re-IPO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Untradability — the stock has been delisted from the NYSE as of July 1, 2026, and there is no public market for shares; IOWN cannot buy, sell, or hold this security [2]</w:t>
      </w:r>
    </w:p>
    <w:p>
      <w:pPr>
        <w:spacing w:before="40" w:after="40"/>
        <w:ind w:left="283"/>
      </w:pPr>
      <w:r>
        <w:rPr>
          <w:rFonts w:ascii="Calibri" w:hAnsi="Calibri"/>
          <w:b/>
          <w:color w:val="4A6B25"/>
          <w:sz w:val="20"/>
        </w:rPr>
        <w:t xml:space="preserve">2. </w:t>
      </w:r>
      <w:r>
        <w:rPr>
          <w:rFonts w:ascii="Calibri" w:hAnsi="Calibri"/>
          <w:b w:val="0"/>
          <w:color w:val="3A4A28"/>
          <w:sz w:val="20"/>
        </w:rPr>
        <w:t>Post-take-private leverage — the $2.9B secured term loan and $500M revolving credit facility substantially increase financial risk compared to the pre-deal balance sheet, and any AUM decline could create debt service pressure [2]</w:t>
      </w:r>
    </w:p>
    <w:p>
      <w:pPr>
        <w:spacing w:before="40" w:after="40"/>
        <w:ind w:left="283"/>
      </w:pPr>
      <w:r>
        <w:rPr>
          <w:rFonts w:ascii="Calibri" w:hAnsi="Calibri"/>
          <w:b/>
          <w:color w:val="4A6B25"/>
          <w:sz w:val="20"/>
        </w:rPr>
        <w:t xml:space="preserve">3. </w:t>
      </w:r>
      <w:r>
        <w:rPr>
          <w:rFonts w:ascii="Calibri" w:hAnsi="Calibri"/>
          <w:b w:val="0"/>
          <w:color w:val="3A4A28"/>
          <w:sz w:val="20"/>
        </w:rPr>
        <w:t>Secular headwind of passive investing — active management continues to face persistent outflows to index funds and ETFs, and the take-private does not resolve the fundamental business model challenge of justifying active fees in an AI-enhanced passive landscape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Active asset management faces meaningful AI disruption risk. AI-driven quantitative strategies, robo-advisors, and algorithmic portfolio construction are increasingly competitive with human active managers on both performance and fees [3]. The industry has experienced persistent outflows from active to passive strategies for over a decade, and AI accelerates this trend by improving passive and algorithmic alternatives. However, JHG's institutional client relationships, regulatory compliance expertise, and brand provide some moat — institutional mandates are relationship-driven and cannot be fully automated. The company was adapting through the model portfolio business, active ETFs, and AI-enhanced research tools, but the Trian take-private suggests the public market had limited confidence in the active management business model's long-term trajectory [2]. AI Opportunity (1/1): JHG launched the Global Artificial Intelligence ETF (JHAI) and deployed AI in investment research processes, generating quantifiable (if modest) AI-related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Janus Henderson Q1 2026 Quarterly Report — Revenue $690M (+11% YoY), net income $90.9M, AUM $479.6B, SEC Form 10-Q, May 2026</w:t>
      </w:r>
    </w:p>
    <w:p>
      <w:pPr>
        <w:spacing w:before="20" w:after="20"/>
        <w:ind w:left="170"/>
      </w:pPr>
      <w:r>
        <w:rPr>
          <w:rFonts w:ascii="Calibri" w:hAnsi="Calibri"/>
          <w:b/>
          <w:color w:val="4A6B25"/>
          <w:sz w:val="15"/>
        </w:rPr>
        <w:t xml:space="preserve">2. </w:t>
      </w:r>
      <w:r>
        <w:rPr>
          <w:rFonts w:ascii="Calibri" w:hAnsi="Calibri"/>
          <w:b w:val="0"/>
          <w:color w:val="3A4A28"/>
          <w:sz w:val="17"/>
        </w:rPr>
        <w:t>Trian and General Catalyst Take-Private — Amended merger at $52.00/share (25% premium), $7.4B total, $2.9B secured term loan, $500M revolver, completed June 30 2026, delisted July 1 2026, BusinessWire, TipRanks, Globe and Mail, March-July 2026</w:t>
      </w:r>
    </w:p>
    <w:p>
      <w:pPr>
        <w:spacing w:before="20" w:after="20"/>
        <w:ind w:left="170"/>
      </w:pPr>
      <w:r>
        <w:rPr>
          <w:rFonts w:ascii="Calibri" w:hAnsi="Calibri"/>
          <w:b/>
          <w:color w:val="4A6B25"/>
          <w:sz w:val="15"/>
        </w:rPr>
        <w:t xml:space="preserve">3. </w:t>
      </w:r>
      <w:r>
        <w:rPr>
          <w:rFonts w:ascii="Calibri" w:hAnsi="Calibri"/>
          <w:b w:val="0"/>
          <w:color w:val="3A4A28"/>
          <w:sz w:val="17"/>
        </w:rPr>
        <w:t>Janus Henderson Strategy and Leadership — CEO Ali Dibadj client-led turnaround, Richard Bernstein Advisors acquisition, Global AI ETF (JHAI) launch, $6.5M ESOP lawsuit settlement, internal cultural concerns over deal, Disruption Banking, InvestmentNews, NCEO,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MacroTrends, Wikipedia — JHG final price $52.00, revenue FY2024 $2.47B, net income $409M, total equity $4.72B, 2,300 employees,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