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KBR</w:t>
      </w:r>
      <w:r>
        <w:rPr>
          <w:rFonts w:ascii="Calibri" w:hAnsi="Calibri"/>
          <w:b/>
          <w:color w:val="1A2010"/>
          <w:sz w:val="40"/>
        </w:rPr>
        <w:t xml:space="preserve">  KBR, Inc.</w:t>
      </w:r>
    </w:p>
    <w:p>
      <w:pPr>
        <w:spacing w:after="120"/>
      </w:pPr>
      <w:r>
        <w:rPr>
          <w:rFonts w:ascii="Calibri" w:hAnsi="Calibri"/>
          <w:b/>
          <w:color w:val="6E8450"/>
          <w:sz w:val="18"/>
        </w:rPr>
        <w:t>GROWTH SLEEVE · 2026-09-19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NYSE · United States</w:t>
      </w:r>
    </w:p>
    <w:p>
      <w:pPr>
        <w:spacing w:after="80"/>
      </w:pPr>
      <w:r>
        <w:rPr>
          <w:rFonts w:ascii="Calibri" w:hAnsi="Calibri"/>
          <w:b w:val="0"/>
          <w:color w:val="3A4A28"/>
          <w:sz w:val="20"/>
        </w:rPr>
        <w:t>KBR is a global engineering, technology, and services company providing science, technology, and engineering solutions to governments and commercial customers. It operates through Mission Technology Solutions (MTS) focused on defense, intelligence, space, and the Golden Dome missile defense initiative, and Sustainable Technology Solutions (STS) providing proprietary process technologies for ammonia, petrochemicals, and decarbonization. Q2 2026 revenue was $2.0B (+2% YoY) with net income of $96M (+32%). The company plans to spin off MTS as an independent entity (Trinzic) on January 4, 2027. Full-year 2026 guidance reaffirmed: $7.90-8.36B revenue, $3.87-4.22 adjusted EPS. Founded in 1901, headquartered in Houston, Texas.</w:t>
      </w:r>
    </w:p>
    <w:p>
      <w:r>
        <w:rPr>
          <w:rFonts w:ascii="Calibri" w:hAnsi="Calibri"/>
          <w:b/>
          <w:color w:val="6E8450"/>
          <w:sz w:val="18"/>
        </w:rPr>
        <w:t>37,000 Employees · https://www.kbr.com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KBR has successfully transformed from a Halliburton-era construction company to a technology-focused defense and sustainability services firm, with Q2 2026 revenue reaching $2.0B (+2% YoY) — an improvement from Q1's -5% decline [1]. STS delivered $676M revenue (+10% YoY) driven by project ramp-ups in the Middle East and Latin America, while MTS revenue declined 2% due to EUCOM contingency runoff but grew excluding that headwind [1]. The planned Trinzic spin-off (January 2027) demonstrates strategic clarity. AI Deployment (1/2): KBR's labs act as a 'technology accelerator to simulate and test new architectures, support AI innovation, and enable vendor-agnostic algorithm development' for defense clients [2]. The company has appointed dedicated Golden Dome strategic leadership and fast-tracked IRAD investment in digital engineering, prototyping, and modeling and simulation. However, no specific AI product revenue figures have been disclosed. Market Share (2/2): KBR holds a massive backlog providing exceptional revenue visibility and is a leading government services contractor with deep institutional relationships in defense, intelligence, and space [1]. The company plans to bid $25B+ in 2026. Product Pipeline (1/2): Golden Dome missile defense initiative with named strategic leadership positions KBR for a generational defense modernization program [2]. STS expects mid-teens YoY revenue growth driven by proprietary ammonia and decarbonization technology demand. But specific new product launches beyond existing contracts are limited. R&amp;D Intensity (1/1): IRAD spending has increased significantly, with KBR fast-tracking investment in digital engineering, prototyping, modeling and simulation, and classified AI laboratories — well above engineering services industry averages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KBR's stated purpose — 'Delivering Solutions, Changing the World' — is aspirational but generic, interchangeable with any large engineering firm [3]. The company's work supporting national defense, space exploration, and decarbonization has genuine societal impact, but the mission statement lacks the specificity to shape strategic decisions differently from Leidos, SAIC, or Booz Allen Hamilton. Community Impact (1/2): KBR employs 37,000 people globally supporting critical national security and sustainability missions. The company achieved carbon neutrality in 2019, linked ESG objectives to executive compensation, and maintains comprehensive environmental and social governance policies [3]. ESG management rated as part of building long-term value. Employee Retention (1/2): Glassdoor rating of 4.0/5.0 with work-life balance at 4.1 and culture/values at 4.0 suggests an above-average workplace for the defense contractor sector [2]. Multiple reviews describe professional and collaborative workplace culture with approachable management. CEO Stuart Bradie's tenure since 2014 provides leadership stability, with Michael LaRouche named as CEO-Designate for the Trinzic spin-off. Insider Buying (0/2): No evidence of meaningful net insider open-market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strong valuation and profitability metrics. Forward P/E of 8.74x with PEG of 0.54 reflects significant value relative to expected earnings growth to $3.87-4.22 per share in FY2026 — both scoring perfect 1.0 [1][4]. ROE of 27.53% is excellent for the government services sector, well above the 15% target [4]. D/E of 170.4% is elevated for an engineering firm with $2.8B total debt against $323M cash, scoring 0.56 against the 70% target [4]. Revenue growth YoY of 1.6% (Q2 +2% improving from Q1's -5%) reflects lumpy contract timing rather than structural weakness, with 5-year CAGR of ~5.9% [1]. Profit margin of 5.49% is thin but typical for government services, scoring 0.27 — the primary infrastructure drag. Operating cash flow of $401M and FCF of $281M demonstrate strong cash generation despite thin margins. Liquidity floor cleared: 1.54M avg volume × $35.54 = $54.8M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KBR has operated continuously since 1901 — a 125-year track record demonstrating enduring relevance through multiple technological eras, from construction to oil services to defense technology. The planned Trinzic spin-off and Golden Dome strategic positioning show forward-looking leadership, and Q2 2026's revenue improvement (+2% vs Q1's -5%) demonstrates execution through transition. However, the generic mission statement and some bureaucratic cultural elements limit infinite game potential compared to purpose-driven peers.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KBR's 125-year operating history — from Kellogg (1901) through Brown &amp; Root, Halliburton integration, and transformation into an independent defense technology company — demonstrates a cause that has endured through multiple eras, leadership transitions, and industry disruptions [1]. The company's work supporting national defense, space exploration, and decarbonization serves genuinely important societal needs. However, the formal mission ('Delivering Solutions, Changing the World') is generic and doesn't differentiate from Leidos, SAIC, or Booz Allen Hamilton. The cause is real and validated by longevity, but not distinctively articulated.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4.0/5.0 with culture/values at 4.0 indicates a reasonably trusting workplace for the defense services sector [2]. CEO Stuart Bradie's leadership since 2014 provides 12 years of stable direction, and the orderly Trinzic succession planning (Michael LaRouche named CEO-Designate) demonstrates organizational maturity. Multiple reviews describe professional culture with approachable management. However, some reviews cite management quality varying by group, pockets of micromanagement, and communication disconnect between upper management and frontline employees.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KBR's planned Trinzic spin-off explicitly acknowledges that pure-play competitors (Leidos, SAIC in defense services; dedicated technology firms in engineering) have structural advantages over a conglomerate [1]. This strategic self-awareness — willing to restructure the entire company to compete more effectively — reflects a learning-oriented approach consistent with Sinek's worthy rivals framework. The competitive posture focuses on self-improvement through transformation rather than adversarial market share battles.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KBR has undergone meaningful transformation — from a Halliburton oil services subsidiary to an independent defense technology and sustainable engineering company, now planning the Trinzic spin-off of MTS in January 2027 [1]. The pivot from construction to technology-enabled government services represents genuine strategic evolution. Carbon neutrality achievement (2019) and expansion into decarbonization services show willingness to evolve. However, these transformations occurred over decades as incremental adaptations rather than single transformative leaps.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KBR has increased IRAD investment significantly, fast-tracking spending on digital engineering, AI labs, and classified facilities — choosing long-term capability over short-term earnings optimization during a period of revenue pressure [2]. The Golden Dome strategic positioning and Trinzic spin-off demonstrate leadership willing to make structural bets. Q2 2026 showed net income growth of 32% to $96M even while executing the spin-off transition [1]. However, the company's risk-averse defense contractor culture and conventional spin-off structure temper the courage assessment.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KBR trades at a compelling 8.74x forward P/E with PEG of 0.54 and massive backlog providing exceptional revenue visibility, while management reaffirmed FY2026 guidance of $7.90-8.36B revenue with adjusted EPS of $3.87-4.22 [1]. Q2 2026 demonstrated improving fundamentals — revenue of $2.0B (+2% YoY, up from Q1's -5%), net income of $96M (+32%), and adjusted EBITDA of $258M at 13% margin [1]. STS revenue surged 10% to $676M driven by project ramp-ups in the Middle East and Latin America, validating the high-margin proprietary technology business [1]. The planned Trinzic spin-off (January 4, 2027) should unlock the conglomerate discount, creating two focused entities. KBR's strategic positioning on the Golden Dome missile defense initiative with increased IRAD investment positions the company at the center of a generational defense modernization cycle [2]. The Inspire score of 48 (ALIGNED) with 11 positive ESG attributions is constructive for faith-based investors.</w:t>
      </w:r>
    </w:p>
    <w:p>
      <w:pPr>
        <w:spacing w:after="120"/>
      </w:pPr>
      <w:r>
        <w:rPr>
          <w:rFonts w:ascii="Calibri" w:hAnsi="Calibri"/>
          <w:b w:val="0"/>
          <w:color w:val="3A4A28"/>
          <w:sz w:val="20"/>
        </w:rPr>
        <w:t>The bear case centers on leverage, thin margins, and spin-off execution risk. D/E of 170.4% with $2.8B total debt against $323M cash creates financial risk, with interest expense consuming a meaningful portion of operating income [4]. Profit margin of 5.49% is thin for an engineering services firm, leaving minimal room for contract cost overruns or macro shocks. MTS revenue declined 2% in Q2 due to EUCOM contingency runoff, and excluding that headwind, growth was positive but modest — the defense backlog needs new large awards to sustain momentum [1]. The Trinzic spin-off creates near-term uncertainty about organizational structure, stranded costs, talent retention, and contract allocation across two entities involving 37,000 employees. Revenue growth of 1.6% YoY is below the 10% target, and the 5-year CAGR of ~5.9% reflects steady but unspectacular long-term growth. The stock has declined approximately 32% from its 52-week high, reflecting market uncertainty about the spin-off and government spending trajectory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Trinzic (MTS) spin-off on January 4, 2027 expected to unlock conglomerate discount, creating a focused defense/intelligence pure-play and a high-margin STS technology company with 21.9% EBITDA margins [1]</w:t>
      </w:r>
    </w:p>
    <w:p>
      <w:pPr>
        <w:spacing w:before="40" w:after="40"/>
        <w:ind w:left="283"/>
      </w:pPr>
      <w:r>
        <w:rPr>
          <w:rFonts w:ascii="Calibri" w:hAnsi="Calibri"/>
          <w:b/>
          <w:color w:val="4A6B25"/>
          <w:sz w:val="20"/>
        </w:rPr>
        <w:t xml:space="preserve">2. </w:t>
      </w:r>
      <w:r>
        <w:rPr>
          <w:rFonts w:ascii="Calibri" w:hAnsi="Calibri"/>
          <w:b w:val="0"/>
          <w:color w:val="3A4A28"/>
          <w:sz w:val="20"/>
        </w:rPr>
        <w:t>Golden Dome missile defense initiative positioning with dedicated strategic leadership and increased IRAD investment could drive significant new contract awards as the generational defense modernization program scales [2]</w:t>
      </w:r>
    </w:p>
    <w:p>
      <w:pPr>
        <w:spacing w:before="40" w:after="40"/>
        <w:ind w:left="283"/>
      </w:pPr>
      <w:r>
        <w:rPr>
          <w:rFonts w:ascii="Calibri" w:hAnsi="Calibri"/>
          <w:b/>
          <w:color w:val="4A6B25"/>
          <w:sz w:val="20"/>
        </w:rPr>
        <w:t xml:space="preserve">3. </w:t>
      </w:r>
      <w:r>
        <w:rPr>
          <w:rFonts w:ascii="Calibri" w:hAnsi="Calibri"/>
          <w:b w:val="0"/>
          <w:color w:val="3A4A28"/>
          <w:sz w:val="20"/>
        </w:rPr>
        <w:t>STS segment delivering 10% YoY revenue growth in Q2 with strong margins, driven by proprietary ammonia, petrochemical, and decarbonization technology demand in Middle East, Latin America, Australia, and Asia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170.4% with $2.8B total debt creates financial risk and interest expense sensitivity — leverage remains above average for government services despite improvement [4]</w:t>
      </w:r>
    </w:p>
    <w:p>
      <w:pPr>
        <w:spacing w:before="40" w:after="40"/>
        <w:ind w:left="283"/>
      </w:pPr>
      <w:r>
        <w:rPr>
          <w:rFonts w:ascii="Calibri" w:hAnsi="Calibri"/>
          <w:b/>
          <w:color w:val="4A6B25"/>
          <w:sz w:val="20"/>
        </w:rPr>
        <w:t xml:space="preserve">2. </w:t>
      </w:r>
      <w:r>
        <w:rPr>
          <w:rFonts w:ascii="Calibri" w:hAnsi="Calibri"/>
          <w:b w:val="0"/>
          <w:color w:val="3A4A28"/>
          <w:sz w:val="20"/>
        </w:rPr>
        <w:t>MTS revenue declined 2% in Q2 from EUCOM contingency runoff, and government spending prioritization shifts (DOGE-driven efficiency mandates) could pressure new award volumes across the defense services portfolio [1]</w:t>
      </w:r>
    </w:p>
    <w:p>
      <w:pPr>
        <w:spacing w:before="40" w:after="40"/>
        <w:ind w:left="283"/>
      </w:pPr>
      <w:r>
        <w:rPr>
          <w:rFonts w:ascii="Calibri" w:hAnsi="Calibri"/>
          <w:b/>
          <w:color w:val="4A6B25"/>
          <w:sz w:val="20"/>
        </w:rPr>
        <w:t xml:space="preserve">3. </w:t>
      </w:r>
      <w:r>
        <w:rPr>
          <w:rFonts w:ascii="Calibri" w:hAnsi="Calibri"/>
          <w:b w:val="0"/>
          <w:color w:val="3A4A28"/>
          <w:sz w:val="20"/>
        </w:rPr>
        <w:t>Trinzic spin-off execution risk — restructuring involving 37,000 employees creates potential for talent attrition, stranded costs, and customer uncertainty during the 4-month transition period before January 2027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KBR's core business — defense and intelligence services, space programs, and sustainable technology solutions — is structurally immune to AI disruption [1][2]. Government contracts require security clearances, classified facilities, and deep institutional trust relationships that create insurmountable barriers for AI substitution. Physical engineering, program management, facility operations, and on-site mission support involve hands-on work that AI cannot replace. The Golden Dome missile defense initiative and increased IRAD investment in digital engineering, AI algorithm development, and classified laboratories position KBR as an AI ENABLER in defense — the company builds AI capabilities for the Department of Defense rather than being threatened by them [2]. The massive backlog is protected by long-term contract structures and high switching costs. AI Opportunity (1/1): KBR generates quantifiable revenue from AI-adjacent services through digitally-enabled defense solutions, AI algorithm development, modeling and simulation, and predictive analytics for intelligence clients — accelerated by the Golden Dome initiative and increased IRAD investment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KBR Q2 2026 Earnings Release — $2.0B revenue (+2% YoY), $96M net income (+32%), $258M adjusted EBITDA (13% margin), STS $676M (+10%), FY2026 guidance reaffirmed $7.90-8.36B, August 2026</w:t>
      </w:r>
    </w:p>
    <w:p>
      <w:pPr>
        <w:spacing w:before="20" w:after="20"/>
        <w:ind w:left="170"/>
      </w:pPr>
      <w:r>
        <w:rPr>
          <w:rFonts w:ascii="Calibri" w:hAnsi="Calibri"/>
          <w:b/>
          <w:color w:val="4A6B25"/>
          <w:sz w:val="15"/>
        </w:rPr>
        <w:t xml:space="preserve">2. </w:t>
      </w:r>
      <w:r>
        <w:rPr>
          <w:rFonts w:ascii="Calibri" w:hAnsi="Calibri"/>
          <w:b w:val="0"/>
          <w:color w:val="3A4A28"/>
          <w:sz w:val="17"/>
        </w:rPr>
        <w:t>KBR Golden Dome Strategic Leadership, IRAD Investment, Trinzic Spin-Off, AI Labs, Glassdoor Reviews (4.0/5), CEO Bradie,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KBR ESG Policy and Corporate Website — carbon neutrality, ESG-linked executive compensation, mission, sustainability strategy,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KBR Key Statistics: Stock Price $35.54, Forward P/E 8.74, PEG 0.54, D/E 170.4%, ROE 27.53%, Avg Volume 1.54M,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