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KEY</w:t>
      </w:r>
      <w:r>
        <w:rPr>
          <w:rFonts w:ascii="Calibri" w:hAnsi="Calibri"/>
          <w:b/>
          <w:color w:val="1A2010"/>
          <w:sz w:val="40"/>
        </w:rPr>
        <w:t xml:space="preserve">  KeyCorp</w:t>
      </w:r>
    </w:p>
    <w:p>
      <w:pPr>
        <w:spacing w:after="120"/>
      </w:pPr>
      <w:r>
        <w:rPr>
          <w:rFonts w:ascii="Calibri" w:hAnsi="Calibri"/>
          <w:b/>
          <w:color w:val="6E8450"/>
          <w:sz w:val="18"/>
        </w:rPr>
        <w:t>DIVIDEND SLEEVE · 2026-10-04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KeyCorp is one of the nation's largest bank-based financial services companies, with approximately $191 billion in assets. Operating through KeyBank National Association, the company provides retail and commercial banking, investment management, consumer finance, and investment banking services across approximately 1,000 branches in 15 states, primarily in the Midwest and Northeast. KeyCorp received a $2.8 billion strategic minority investment from Scotiabank in 2024. Q2 2026 net income of $472M (+26% YoY) on revenue of $1.96B (+7% YoY). Full-year 2026 revenue guidance raised to ~8% growth. Headquartered in Cleveland, Ohio.</w:t>
      </w:r>
    </w:p>
    <w:p>
      <w:r>
        <w:rPr>
          <w:rFonts w:ascii="Calibri" w:hAnsi="Calibri"/>
          <w:b/>
          <w:color w:val="6E8450"/>
          <w:sz w:val="18"/>
        </w:rPr>
        <w:t>17,493 Employees · https://www.key.com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KeyCorp secured a transformative $2.8 billion strategic minority investment from Scotiabank in 2024, providing growth capital and a strategic partner, but the core banking model remains fundamentally unchanged [1]. Revenue grew 10% YoY in Q1 2026 and 7% in Q2, with full-year guidance raised to ~8%, reflecting cyclical recovery and NIM expansion rather than product innovation [1]. AI Deployment (1/2): KeyBank deployed 'MyKey,' a conversational AI assistant built on Google Cloud technology, providing real-time financial knowledge to customer service agents [2]. NiCE Actimize X-Sight AI platform modernized financial crime operations. Cognitive banking partnership with Personetics offers AI-driven consumer engagement. However, no specific AI revenue or quantified cost savings have been disclosed. Market Share (0/2): KeyCorp is approximately the 25th largest U.S. bank by assets, a meaningful regional player but not a category leader or fastest share gainer. Product Pipeline (0/2): Digital banking enhancements underway but no specific next-generation products with launch dates and revenue visibility. R&amp;D Intensity (1/1): Technology and operations spending of approximately $900M in 2025, increasing by $100M in 2026, represents above-average technology investment for a regional bank at roughly 12% of revenue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KeyCorp's purpose of 'helping clients and communities thrive by offering financial expertise and tailored solutions' is generic and interchangeable with virtually any bank in America [2]. CEO Gorman frames priorities around 'delivering shareholder value,' a finite-game objective. Community Impact (1/2): KeyCorp is a founding member of the White House Economic Opportunity Coalition, placed $50M in deposits with CDFIs and MDIs, and committed to financing $38B addressing climate change, deploying nearly $5B in 2023 [3]. The company invested $6B+ in low- and moderate-income communities through affordable housing, mortgages, small business lending, and philanthropy. These are meaningful but align with standard CRA obligations for major banks. Employee Retention (0/2): No specific employee retention data or voluntary turnover metrics identified. CIO Amy Brady resigned in March 2026, introducing temporary technology leadership risk. Insider Buying (0/2): KeyCorp completed $400M in share repurchases in Q1 2026 under a $1.3B program, but these are corporate buybacks, not personal insider purchases [1]. No evidence of meaningful net insider buying by CEO Gorman.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D/E excluded (unavailable from yfinance for banks). ROE of 10.3% scores 0.689, below the 15% target but positive and improving with 26% EPS growth in Q2 2026 [1][4]. Revenue growth YoY of 10.1% scores perfectly, approaching target [1]. Estimated 5yr revenue CAGR of ~2.4% reflects banking cyclicality through the 2022-2023 rate shock, scoring 0.49. Forward P/E of 9.41 is exceptional — well below the 20 target — reflecting regional banking sector discount [4]. Net profit margin of 27.5% exceeds the 20% target [4]. Dividend profile anchors the score: 32 consecutive years of payments (2× weight, 1.0) and 15 consecutive years of growth (1× weight, 1.0) both exceed targets. Payout ratio of 48% near the 40% target, scoring 0.87 [4]. 5yr dividend growth CAGR of ~2.1% trails the 6% target, scoring 0.35 at 2× weight. Net interest income growing 9-11% with NIM guided to 3.00-3.05% by year-end [1]. Liquidity easily passes: ~11.7M shares × $20.08 = ~$235M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KeyCorp demonstrates adequate institutional stability — 200 years of continuous operation, 32 consecutive years of dividend payments, and 15 consecutive years of dividend growth — but lacks a distinctive Just Cause or evidence of courage-driven leadership decisions. CEO Gorman's priorities center explicitly on 'delivering shareholder value' rather than articulating a higher purpose. The company's competitive language focuses on financial metrics and market positioning. The 200-year history demonstrates survivability but the current leadership orientation is firmly finite.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KeyCorp's purpose of 'helping clients and communities thrive' is standard banking rhetoric — it describes what every bank says it does rather than articulating a distinctive vision of a better future [2]. CEO Gorman frames priorities around 'delivering shareholder value' and 'keeping the client experience central,' which are finite-game objectives. The 200-year history since 1825 demonstrates institutional persistence but current leadership does not reference a compelling cause in strategic communications.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Gorman's 20+ year tenure at KeyCorp provides leadership continuity, and he emphasizes rewarding intellectual curiosity among employees [2]. The company maintains approximately 17,500 employees across a stable organizational structure. However, CIO Amy Brady's resignation in March 2026 introduces technology leadership risk, and no specific employee retention data, voluntary turnover statistics, or cultural indicators suggesting an exceptionally high-trust environment were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KeyCorp's competitive language in earnings calls and corporate materials centers on financial performance metrics — EPS growth, net interest income, return targets — rather than learning from competitors' strengths [1]. No evidence of management publicly acknowledging competitors' advantages or framing competition as motivation for self-improvement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KeyCorp has adapted incrementally over its 200-year history, most recently through the $2.8B Scotiabank strategic investment bringing international partnership capabilities and growth capital [1]. Technology investment increased by $100M to ~$900M, including AI deployments (MyKey, NiCE Actimize) signaling adaptation to digital banking trends [2]. However, the core business model — deposit-taking, lending, and fee-based services through physical branches —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accept a $2.8B strategic minority investment from Scotiabank in 2024 demonstrated willingness to bring in an outside partner and dilute ownership for long-term strategic benefit. The $100M increase in technology investment to ~$900M during earnings recovery shows some prioritization of long-term capability [2]. Maintaining the dividend through the 2023 regional banking crisis while peers faced deposit flight demonstrated steady leadership. However, no examples of sacrificing near-term earnings for long-term vision were identified beyond incremental investment increases.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KeyCorp delivered Q2 2026 net income of $472M ($0.44 EPS, +26% YoY) on revenue of $1.96B (+7% YoY), marking the eighth consecutive quarter of adjusted PPNR growth [1]. Full-year 2026 revenue guidance was raised to ~8% growth with NII expected to increase 9-11% as net interest margin expands toward 3.00-3.05% by year-end. At 9.4x forward earnings, KEY trades at a significant discount to banking peers, with strong earnings momentum (Q1 EPS +33%, Q2 EPS +26%) suggesting multiple expansion potential. The dividend profile offers 4.08% yield with a sustainable 48% payout ratio, 32 consecutive years of payments, and 15 years of growth [4]. The $2.8B Scotiabank strategic investment provides growth capital, while the $1.3B share repurchase program (~6% buyback yield) enhances per-share returns.</w:t>
      </w:r>
    </w:p>
    <w:p>
      <w:pPr>
        <w:spacing w:after="120"/>
      </w:pPr>
      <w:r>
        <w:rPr>
          <w:rFonts w:ascii="Calibri" w:hAnsi="Calibri"/>
          <w:b w:val="0"/>
          <w:color w:val="3A4A28"/>
          <w:sz w:val="20"/>
        </w:rPr>
        <w:t>The bear case centers on structural limitations of regional banking. Five-year revenue CAGR of just 2.4% reflects the slow-growth reality, and ROE of 10.3% meaningfully trails the 15% target and lags money-center banks [4]. Dividend growth has decelerated sharply to ~2.1% CAGR over five years — well below inflation — undermining the income growth thesis despite the attractive 4.08% current yield. KeyCorp lacks a distinctive competitive moat: it is neither the largest bank (scale advantage) nor the most innovative (technology advantage) in its markets. Rising credit losses from commercial real estate exposure remain a risk as office vacancy rates stay elevated above 20% nationally. AI-driven automation of banking services creates gradual but persistent pressure on the labor-intensive service model, while fintech competitors (SoFi, Chime) target younger demographics. The CIO resignation in March 2026 introduces technology leadership risk at a critical juncture for digital banking transformation. Inspire Impact Score of -49 (MISALIGNED) due to LGBT Activism attribution is a significant concern for faith-aligned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Net interest income growth of 9-11% in 2026 driven by NIM expansion to 3.00-3.05% by year-end, with continued momentum from eight consecutive quarters of adjusted PPNR growth [1]</w:t>
      </w:r>
    </w:p>
    <w:p>
      <w:pPr>
        <w:spacing w:before="40" w:after="40"/>
        <w:ind w:left="283"/>
      </w:pPr>
      <w:r>
        <w:rPr>
          <w:rFonts w:ascii="Calibri" w:hAnsi="Calibri"/>
          <w:b/>
          <w:color w:val="4A6B25"/>
          <w:sz w:val="20"/>
        </w:rPr>
        <w:t xml:space="preserve">2. </w:t>
      </w:r>
      <w:r>
        <w:rPr>
          <w:rFonts w:ascii="Calibri" w:hAnsi="Calibri"/>
          <w:b w:val="0"/>
          <w:color w:val="3A4A28"/>
          <w:sz w:val="20"/>
        </w:rPr>
        <w:t>Share repurchase program of $1.3B in 2026 providing ~6% buyback yield at current market cap, with ~$400M already completed in Q1, directly enhancing EPS growth trajectory [1]</w:t>
      </w:r>
    </w:p>
    <w:p>
      <w:pPr>
        <w:spacing w:before="40" w:after="40"/>
        <w:ind w:left="283"/>
      </w:pPr>
      <w:r>
        <w:rPr>
          <w:rFonts w:ascii="Calibri" w:hAnsi="Calibri"/>
          <w:b/>
          <w:color w:val="4A6B25"/>
          <w:sz w:val="20"/>
        </w:rPr>
        <w:t xml:space="preserve">3. </w:t>
      </w:r>
      <w:r>
        <w:rPr>
          <w:rFonts w:ascii="Calibri" w:hAnsi="Calibri"/>
          <w:b w:val="0"/>
          <w:color w:val="3A4A28"/>
          <w:sz w:val="20"/>
        </w:rPr>
        <w:t>Scotiabank strategic partnership unlocking cross-border commercial banking opportunities and providing $2.8B in growth capital for digital transformation and market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 real estate loan concentration creates credit risk as office vacancy rates remain elevated above 20% nationally, with potential for increased loan loss provisions that could offset NII growth [1]</w:t>
      </w:r>
    </w:p>
    <w:p>
      <w:pPr>
        <w:spacing w:before="40" w:after="40"/>
        <w:ind w:left="283"/>
      </w:pPr>
      <w:r>
        <w:rPr>
          <w:rFonts w:ascii="Calibri" w:hAnsi="Calibri"/>
          <w:b/>
          <w:color w:val="4A6B25"/>
          <w:sz w:val="20"/>
        </w:rPr>
        <w:t xml:space="preserve">2. </w:t>
      </w:r>
      <w:r>
        <w:rPr>
          <w:rFonts w:ascii="Calibri" w:hAnsi="Calibri"/>
          <w:b w:val="0"/>
          <w:color w:val="3A4A28"/>
          <w:sz w:val="20"/>
        </w:rPr>
        <w:t>Five-year dividend growth CAGR of 2.1% significantly trails inflation, eroding real income value for dividend investors despite the attractive current yield of 4.08% [4]</w:t>
      </w:r>
    </w:p>
    <w:p>
      <w:pPr>
        <w:spacing w:before="40" w:after="40"/>
        <w:ind w:left="283"/>
      </w:pPr>
      <w:r>
        <w:rPr>
          <w:rFonts w:ascii="Calibri" w:hAnsi="Calibri"/>
          <w:b/>
          <w:color w:val="4A6B25"/>
          <w:sz w:val="20"/>
        </w:rPr>
        <w:t xml:space="preserve">3. </w:t>
      </w:r>
      <w:r>
        <w:rPr>
          <w:rFonts w:ascii="Calibri" w:hAnsi="Calibri"/>
          <w:b w:val="0"/>
          <w:color w:val="3A4A28"/>
          <w:sz w:val="20"/>
        </w:rPr>
        <w:t>Intensifying fintech competition from AI-powered digital banks compressing fee income and threatening the deposit franchise, particularly among younger demographics, while CIO departure in March 2026 creates technology leadership vacuum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Banking is a heavily regulated industry with significant barriers to entry — FDIC insurance, OCC charter requirements, state banking regulations, and capital adequacy standards create structural moats that AI-powered fintech competitors cannot easily replicate [4]. Customer deposit relationships are sticky, and the physical branch network serves customers requiring in-person service. However, AI creates genuine substitution risk for several banking functions: loan underwriting, customer service, fraud detection, and back-office processing could be partially automated, and fintech competitors (SoFi, Chime, neobanks) leverage AI to compete for deposits and lending volume. KeyCorp's proactive AI investments — MyKey assistant, NiCE Actimize platform, $900M+ technology budget — provide defensive positioning [2]. The regulatory moat and deposit franchise are protected, but the labor-intensive service model faces gradual AI-driven efficiency pressure. AI Opportunity (0/1): KeyCorp uses AI internally for customer service, fraud detection, and cognitive banking, but does not generate meaningful external AI revenue from products or services sold to third parties.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KeyCorp Q1 and Q2 2026 Earnings Releases — Q1 Net Income $486M, EPS $0.44 (+33% YoY); Q2 Net Income $472M, EPS $0.44 (+26% YoY), Revenue $1.96B (+7% YoY); FY26 Revenue Guidance Raised to ~8%, NII +9-11%, investor.key.com, April-July 2026</w:t>
      </w:r>
    </w:p>
    <w:p>
      <w:pPr>
        <w:spacing w:before="20" w:after="20"/>
        <w:ind w:left="170"/>
      </w:pPr>
      <w:r>
        <w:rPr>
          <w:rFonts w:ascii="Calibri" w:hAnsi="Calibri"/>
          <w:b/>
          <w:color w:val="4A6B25"/>
          <w:sz w:val="15"/>
        </w:rPr>
        <w:t xml:space="preserve">2. </w:t>
      </w:r>
      <w:r>
        <w:rPr>
          <w:rFonts w:ascii="Calibri" w:hAnsi="Calibri"/>
          <w:b w:val="0"/>
          <w:color w:val="3A4A28"/>
          <w:sz w:val="17"/>
        </w:rPr>
        <w:t>KeyCorp AI Innovation (MyKey Assistant, NiCE Actimize, Personetics), Digital Strategy, $900M+ Tech Budget, CEO Gorman Leadership — thefinancialbrand.com, PYMNTS, key.com, 2025-2026</w:t>
      </w:r>
    </w:p>
    <w:p>
      <w:pPr>
        <w:spacing w:before="20" w:after="20"/>
        <w:ind w:left="170"/>
      </w:pPr>
      <w:r>
        <w:rPr>
          <w:rFonts w:ascii="Calibri" w:hAnsi="Calibri"/>
          <w:b/>
          <w:color w:val="4A6B25"/>
          <w:sz w:val="15"/>
        </w:rPr>
        <w:t xml:space="preserve">3. </w:t>
      </w:r>
      <w:r>
        <w:rPr>
          <w:rFonts w:ascii="Calibri" w:hAnsi="Calibri"/>
          <w:b w:val="0"/>
          <w:color w:val="3A4A28"/>
          <w:sz w:val="17"/>
        </w:rPr>
        <w:t>KeyCorp ESG Report, Community Initiatives ($6B+ LMI Investment, $5B Low Carbon Capital, $38B Climate Commitment), White House Economic Opportunity Coalition — CSRWire, key.com,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KEY Key Statistics: Forward P/E 9.41, PE 11.74, ROE 10.33%, Profit Margin 27.54%, Dividend Yield 4.08%, Payout 47.95%, Stock Price $20.08,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