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KKR</w:t>
      </w:r>
      <w:r>
        <w:rPr>
          <w:rFonts w:ascii="Calibri" w:hAnsi="Calibri"/>
          <w:b/>
          <w:color w:val="1A2010"/>
          <w:sz w:val="40"/>
        </w:rPr>
        <w:t xml:space="preserve">  KKR &amp; Co. Inc.</w:t>
      </w:r>
    </w:p>
    <w:p>
      <w:pPr>
        <w:spacing w:after="120"/>
      </w:pPr>
      <w:r>
        <w:rPr>
          <w:rFonts w:ascii="Calibri" w:hAnsi="Calibri"/>
          <w:b/>
          <w:color w:val="6E8450"/>
          <w:sz w:val="18"/>
        </w:rPr>
        <w:t>GROWTH SLEEVE · 2026-10-15 · Inspire: -53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KKR &amp; Co. Inc. is a leading global alternative asset manager with $796B in assets under management as of Q2 2026, spanning private equity, infrastructure, real estate, credit, and insurance (Global Atlantic). Q2 2026 adjusted net income reached $1.49B ($1.63/share, +40% YoY) on revenue of $5.73B, with fee-related earnings of $1.21B. Q1 2026 saw $28B in new capital raised and AUM of $758B (+14% YoY). The firm completed a 4-for-1 stock split in 2025 and trades at approximately $86 per share with a $77B market cap.</w:t>
      </w:r>
    </w:p>
    <w:p>
      <w:r>
        <w:rPr>
          <w:rFonts w:ascii="Calibri" w:hAnsi="Calibri"/>
          <w:b/>
          <w:color w:val="6E8450"/>
          <w:sz w:val="18"/>
        </w:rPr>
        <w:t>5,400 Employees · https://www.kkr.com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KKR has executed multiple successful business model transformations over the past five years — the $4B acquisition of Global Atlantic (2021) created one of the industry's largest insurance-linked alternative asset platforms, fundamentally expanding the firm's capital base and fee streams [1]. AUM grew from approximately $430B in 2021 to $796B in Q2 2026, driven by expansion into infrastructure, credit, and insurance-linked strategies. The 2018 partnership-to-C-corp conversion and subsequent S&amp;P 500 inclusion broadened the investor base. AI Deployment (0/2): No evidence of AI-powered products or quantifiable AI-driven operational savings. A Glassdoor review from March 2026 criticized internal technology leadership for superficial AI adoption, stating leadership 'constantly hypes up AI' without meaningful implementation [3]. Market Share (2/2): KKR is the world's #2 or #3 alternative asset manager by AUM ($796B), behind Blackstone (~$1.1T) and competing with Apollo (~$733B), with specific leadership in infrastructure investing and growing insurance-linked assets through Global Atlantic [1]. The firm raised $28B in new capital in Q1 2026 alone. Product Pipeline (1/2): KKR continues launching new fund products across asset classes — infrastructure, transition energy, and Asia-focused strategies — but specific next-generation products with revenue visibility and launch dates are not publicly detailed. R&amp;D Intensity (0/1): Asset managers do not have traditional R&amp;D; KKR invests in technology infrastructure but this does not constitute above-industry R&amp;D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KKR's stated purpose centers on creating long-term value for investors through responsible investment practices, identifying what the company does and for whom but not articulating a transformative vision beyond financial returns [2]. The firm's emphasis on 'building better companies' through operational improvement of portfolio companies is clear but not distinctive among alternative asset managers. Community Impact (1/2): KKR established an external ESG advisory council in 2021 and has published sustainability reports, with portfolio company engagement on environmental and governance practices [2]. General corporate philanthropy and community investment, but no standout programs with specific dollar amounts or distinctive impact. Employee Retention (1/2): Glassdoor rating of 3.7/5 with 91% CEO approval suggests adequate retention [3]. Fortune described KKR's 'apprenticeship culture' emphasizing continuous learning, and co-CEOs Scott Nuttall and Joe Bae have provided leadership continuity since Henry Kravis and George Roberts transitioned. However, some reviews cite political culture and technology team dysfunction. Insider Buying (0/2): No specific evidence of net insider buying identified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Note: KKR is a complex financial holding company (alternative asset manager with insurance operations via Global Atlantic), and standard financial metrics from yfinance were largely unavailable; scoring is based on metrics derived from Q1-Q2 2026 earnings reports. Forward P/E estimated at 13.2x (based on $86.04 price divided by annualized adjusted EPS of ~$6.52) is well below the 20 target (score 1.0) [1]. Revenue growth estimated at 20% YoY based on fee revenue and AUM expansion (score 1.0). Profit margin estimated at 26% from Q2 adjusted net income of $1.49B on $5.73B revenue, above the 20% target (score 1.0). D/E and ROE are unavailable from yfinance due to the complexity of KKR's consolidated balance sheet (Global Atlantic's insurance liabilities inflate D/E beyond meaningful comparison). Weighted sum: 3.0 out of max 3.0 available weight units → mechanically 10, adjusted to 9 reflecting that only 3 of 10 possible weight units were available and KKR's financial holding company structure would likely produce an elevated D/E ratio. Daily dollar volume of $389M provides maximum institutional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KKR exemplifies infinite game thinking through 50+ years of continuous reinvention — from leveraged buyout pioneer in the 1970s to diversified alternative asset manager spanning PE, credit, infrastructure, real estate, and insurance with $796B AUM. The firm's successive transformations (LBO shop to multi-strategy platform, partnership to C-corp, organic growth to Global Atlantic insurance acquisition) demonstrate existential flexibility in service of building an enduring investment franchise. Leadership transitions from founders Kravis and Roberts to co-CEOs Nuttall and Bae have been deliberate and multi-year, preserving institutional culture while enabling evolution.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KKR's purpose — creating long-term value through responsible capital deployment and operational improvement of portfolio companies — has been genuinely validated by 50+ years of execution across multiple market cycles, leadership transitions, and industry disruptions [2]. The firm's evolution from LBO specialist to diversified alternative asset manager demonstrates that the cause (building better companies and generating superior risk-adjusted returns) has survived strategic shifts. However, the cause is ultimately centered on financial returns rather than a broader social vision, preventing it from reaching the transformative level where purpose IS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KKR's multi-year leadership succession from founders Kravis and Roberts to co-CEOs Nuttall and Bae was deliberate and preserved institutional continuity [3]. Glassdoor's 91% CEO approval and 3.7/5 rating suggest adequate organizational trust. Fortune described an 'apprenticeship culture' emphasizing continuous learning. However, some employee reviews cite political decision-making and technology team dysfunction, and the Global Atlantic integration has created cultural friction. The firm is stable but not exceptional on trust metrics.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KKR consistently frames competition with Blackstone, Apollo, and Carlyle as motivation to expand capabilities rather than destroy rivals [2]. The firm's strategic response to Blackstone's scale advantage has been to build differentiated capabilities (infrastructure investing, Global Atlantic insurance, Asia expansion) rather than simply pursuing AUM growth. Management commentary focuses on building the best platform rather than winning market share, and KKR's willingness to learn from Blackstone's success in the insurance-linked asset space (leading to the Global Atlantic acquisition) demonstrates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KKR has fundamentally reinvented itself multiple times in service of building an enduring investment franchise — from a leveraged buyout specialist in the 1970s-80s to a diversified private markets firm, from a partnership to a C-corp (2018, enabling S&amp;P 500 inclusion and broader ownership), and most recently the $4B Global Atlantic acquisition (2021) that transformed KKR into an insurance-linked alternative asset manager [1][2]. Each pivot required abandoning established practices and making multi-billion dollar bets on new capabilities. The Global Atlantic deal alone doubled KKR's balance sheet assets and fundamentally changed its capital structure and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KKR demonstrates a pattern of costly long-term bets — the $4B Global Atlantic acquisition required significant capital commitment and execution risk to build an insurance-linked asset platform that would take years to mature [1]. Converting from a tax-advantaged partnership to a C-corp in 2018 sacrificed near-term tax efficiency for long-term institutional access and S&amp;P 500 eligibility. The firm's expansion into infrastructure, transition energy, and Asia-Pacific markets involved multi-year investment in capabilities before generating meaningful returns. Leadership consistently chooses building long-term platform capabilities over maximizing short-term fee income.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KKR at $86 with a $77B market cap is one of the world's premier alternative asset managers executing on all cylinders — Q2 2026 adjusted net income reached $1.49B ($1.63/share, +40% YoY) driven by strong realizations of $1.29B and fee-related earnings of $1.21B [1]. AUM reached $796B (+16% YoY) with $28B in new capital raised in Q1 alone, and the Global Atlantic insurance platform provides a permanent, low-cost capital base that differentiates KKR from peers. At an estimated 13.2x forward adjusted earnings, KKR trades at a meaningful discount to Blackstone (~20x) despite comparable growth dynamics, and the firm's infrastructure investing leadership positions it to capture the $5T+ global infrastructure investment opportunity. The 4-for-1 stock split and S&amp;P 500 inclusion have broadened the shareholder base.</w:t>
      </w:r>
    </w:p>
    <w:p>
      <w:pPr>
        <w:spacing w:after="120"/>
      </w:pPr>
      <w:r>
        <w:rPr>
          <w:rFonts w:ascii="Calibri" w:hAnsi="Calibri"/>
          <w:b w:val="0"/>
          <w:color w:val="3A4A28"/>
          <w:sz w:val="20"/>
        </w:rPr>
        <w:t>The bear case centers on cyclicality and execution complexity. KKR's earnings are sensitive to realization activity — Q2's strong results were driven by $1.29B in asset sales that may not be sustainable in a slower M&amp;A environment [1]. The Global Atlantic integration adds insurance regulation risk and balance sheet complexity that makes KKR harder to value than pure-play asset managers. Elevated interest rates compress exit multiples for private equity portfolio companies, potentially reducing future carried interest. KKR's $796B AUM is approaching scale where deployment becomes harder — finding attractive deals at this size requires increasingly large transactions with fewer potential targets. The Inspire Impact Score of -53 (MISALIGNED) with negative attributions for Alcohol and LGBT Activism may exclude KKR from faith-based investment mandates. Glassdoor reviews flagging internal technology adoption challenges and political culture suggest organizational friction that could impair long-term competitiveness [3]. Competition from Blackstone ($1.1T AUM), Apollo, and Carlyle for institutional capital and deal flow creates persistent pressure on management fees and fund terms.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AUM growth trajectory toward $1T driven by $28B quarterly fundraising pace, infrastructure investing demand, and Global Atlantic insurance float providing permanent capital — fee-related earnings should scale with AUM growth at high incremental margins [1]</w:t>
      </w:r>
    </w:p>
    <w:p>
      <w:pPr>
        <w:spacing w:before="40" w:after="40"/>
        <w:ind w:left="283"/>
      </w:pPr>
      <w:r>
        <w:rPr>
          <w:rFonts w:ascii="Calibri" w:hAnsi="Calibri"/>
          <w:b/>
          <w:color w:val="4A6B25"/>
          <w:sz w:val="20"/>
        </w:rPr>
        <w:t xml:space="preserve">2. </w:t>
      </w:r>
      <w:r>
        <w:rPr>
          <w:rFonts w:ascii="Calibri" w:hAnsi="Calibri"/>
          <w:b w:val="0"/>
          <w:color w:val="3A4A28"/>
          <w:sz w:val="20"/>
        </w:rPr>
        <w:t>AI infrastructure investment demand creating multi-decade capital deployment opportunity in data centers, power infrastructure, and semiconductor supply chains where KKR has established investment leadership [1]</w:t>
      </w:r>
    </w:p>
    <w:p>
      <w:pPr>
        <w:spacing w:before="40" w:after="40"/>
        <w:ind w:left="283"/>
      </w:pPr>
      <w:r>
        <w:rPr>
          <w:rFonts w:ascii="Calibri" w:hAnsi="Calibri"/>
          <w:b/>
          <w:color w:val="4A6B25"/>
          <w:sz w:val="20"/>
        </w:rPr>
        <w:t xml:space="preserve">3. </w:t>
      </w:r>
      <w:r>
        <w:rPr>
          <w:rFonts w:ascii="Calibri" w:hAnsi="Calibri"/>
          <w:b w:val="0"/>
          <w:color w:val="3A4A28"/>
          <w:sz w:val="20"/>
        </w:rPr>
        <w:t>Valuation discount to Blackstone (~13x vs. ~20x forward adjusted earnings) provides upside potential as KKR's diversified platform and consistent execution narrow the peer valuation gap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Realization sensitivity — Q2 2026's 40% EPS growth was driven by $1.29B in asset sales that may moderate in a slower M&amp;A environment, creating earnings volatility that the market penalizes with a valuation discount [1]</w:t>
      </w:r>
    </w:p>
    <w:p>
      <w:pPr>
        <w:spacing w:before="40" w:after="40"/>
        <w:ind w:left="283"/>
      </w:pPr>
      <w:r>
        <w:rPr>
          <w:rFonts w:ascii="Calibri" w:hAnsi="Calibri"/>
          <w:b/>
          <w:color w:val="4A6B25"/>
          <w:sz w:val="20"/>
        </w:rPr>
        <w:t xml:space="preserve">2. </w:t>
      </w:r>
      <w:r>
        <w:rPr>
          <w:rFonts w:ascii="Calibri" w:hAnsi="Calibri"/>
          <w:b w:val="0"/>
          <w:color w:val="3A4A28"/>
          <w:sz w:val="20"/>
        </w:rPr>
        <w:t>Global Atlantic integration complexity adds insurance regulation, balance sheet opacity, and credit risk that pure-play asset managers do not carry — investors struggle to value the insurance-linked assets alongside the fee-based management business [1]</w:t>
      </w:r>
    </w:p>
    <w:p>
      <w:pPr>
        <w:spacing w:before="40" w:after="40"/>
        <w:ind w:left="283"/>
      </w:pPr>
      <w:r>
        <w:rPr>
          <w:rFonts w:ascii="Calibri" w:hAnsi="Calibri"/>
          <w:b/>
          <w:color w:val="4A6B25"/>
          <w:sz w:val="20"/>
        </w:rPr>
        <w:t xml:space="preserve">3. </w:t>
      </w:r>
      <w:r>
        <w:rPr>
          <w:rFonts w:ascii="Calibri" w:hAnsi="Calibri"/>
          <w:b w:val="0"/>
          <w:color w:val="3A4A28"/>
          <w:sz w:val="20"/>
        </w:rPr>
        <w:t>Scale limitations as AUM approaches $796B — finding attractive investment opportunities at this size requires increasingly large transactions with concentration risk, while institutional LP capital becomes harder to raise at premium fee structures in a competitive fundraising environment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KKR's core business — raising capital from institutional investors, deploying it into private equity, credit, infrastructure, and insurance investments, and managing portfolio companies — is fundamentally relationship-driven and judgment-intensive in ways AI cannot replicate [1][2]. LP fundraising depends on decades-long institutional relationships, deal origination requires proprietary networks and reputation, and portfolio company management involves human leadership intervention. The regulatory framework for investment advisers provides additional structural protection. AI may enhance KKR's deal sourcing, due diligence, and portfolio monitoring capabilities, but these augment rather than replace the core human-capital-intensive business model. Insurance operations (Global Atlantic) involve regulated, relationship-based distribution that AI cannot disintermediate. AI Opportunity (1/1): KKR actively invests in AI infrastructure — including data center operators, semiconductor supply chains, and AI-enabled companies — generating management fees and carried interest from AI-themed deployments [1]. The firm's $796B AUM platform includes significant AI-related capital allocation, making KKR a meaningful beneficiary of AI infrastructure spending.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-53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KKR Q1-Q2 2026 Earnings — Q2 Adj NI $1.49B (+40% YoY), EPS $1.63, FRE $1.21B, AUM $796B (+16%), Q1 AUM $758B, $28B New Capital Raised — Commercial Observer, SentiSense, Sure Dividend, Barchart, 2026</w:t>
      </w:r>
    </w:p>
    <w:p>
      <w:pPr>
        <w:spacing w:before="20" w:after="20"/>
        <w:ind w:left="170"/>
      </w:pPr>
      <w:r>
        <w:rPr>
          <w:rFonts w:ascii="Calibri" w:hAnsi="Calibri"/>
          <w:b/>
          <w:color w:val="4A6B25"/>
          <w:sz w:val="15"/>
        </w:rPr>
        <w:t xml:space="preserve">2. </w:t>
      </w:r>
      <w:r>
        <w:rPr>
          <w:rFonts w:ascii="Calibri" w:hAnsi="Calibri"/>
          <w:b w:val="0"/>
          <w:color w:val="3A4A28"/>
          <w:sz w:val="17"/>
        </w:rPr>
        <w:t>KKR Company Profile — Global Atlantic Acquisition, ESG Advisory Council, Infrastructure Platform, Partnership-to-C-Corp Conversion, 50+ Year History — Fortune, KKR.com, SEC 10-K FY2024, 2021-2026</w:t>
      </w:r>
    </w:p>
    <w:p>
      <w:pPr>
        <w:spacing w:before="20" w:after="20"/>
        <w:ind w:left="170"/>
      </w:pPr>
      <w:r>
        <w:rPr>
          <w:rFonts w:ascii="Calibri" w:hAnsi="Calibri"/>
          <w:b/>
          <w:color w:val="4A6B25"/>
          <w:sz w:val="15"/>
        </w:rPr>
        <w:t xml:space="preserve">3. </w:t>
      </w:r>
      <w:r>
        <w:rPr>
          <w:rFonts w:ascii="Calibri" w:hAnsi="Calibri"/>
          <w:b w:val="0"/>
          <w:color w:val="3A4A28"/>
          <w:sz w:val="17"/>
        </w:rPr>
        <w:t>KKR Employee Sentiment — Glassdoor 3.7/5, 91% CEO Approval, 'Apprenticeship Culture,' Technology Leadership Criticism, Mixed Culture Reviews — Glassdoor, Fortune,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