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KMB</w:t>
      </w:r>
      <w:r>
        <w:rPr>
          <w:rFonts w:ascii="Calibri" w:hAnsi="Calibri"/>
          <w:b/>
          <w:color w:val="1A2010"/>
          <w:sz w:val="40"/>
        </w:rPr>
        <w:t xml:space="preserve">  Kimberly-Clark Corporation</w:t>
      </w:r>
    </w:p>
    <w:p>
      <w:pPr>
        <w:spacing w:after="120"/>
      </w:pPr>
      <w:r>
        <w:rPr>
          <w:rFonts w:ascii="Calibri" w:hAnsi="Calibri"/>
          <w:b/>
          <w:color w:val="6E8450"/>
          <w:sz w:val="18"/>
        </w:rPr>
        <w:t>DIVIDEND SLEEVE · 2026-08-26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Household &amp; Personal Products · NASDAQ · United States</w:t>
      </w:r>
    </w:p>
    <w:p>
      <w:pPr>
        <w:spacing w:after="80"/>
      </w:pPr>
      <w:r>
        <w:rPr>
          <w:rFonts w:ascii="Calibri" w:hAnsi="Calibri"/>
          <w:b w:val="0"/>
          <w:color w:val="3A4A28"/>
          <w:sz w:val="20"/>
        </w:rPr>
        <w:t>Kimberly-Clark manufactures and markets personal care products including disposable diapers, wipes, feminine and incontinence care, and tissue/paper products under brands such as Huggies, Kleenex, Scott, Cottonelle, Kotex, and Depend. Founded in 1872 and headquartered in Dallas, Texas, the company is executing a $48.7 billion all-stock-and-cash acquisition of Kenvue (maker of Tylenol, Neutrogena, and Listerine) that received overwhelming shareholder approval in January 2026 and is expected to close in the second half of 2026, creating a combined ~$32 billion global health and wellness leader.</w:t>
      </w:r>
    </w:p>
    <w:p>
      <w:r>
        <w:rPr>
          <w:rFonts w:ascii="Calibri" w:hAnsi="Calibri"/>
          <w:b/>
          <w:color w:val="6E8450"/>
          <w:sz w:val="18"/>
        </w:rPr>
        <w:t>36,000 Employees · https://www.kimberly-clark.com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The $48.7 billion acquisition of Kenvue is a transformative pivot that redefines Kimberly-Clark from a pure tissue/diaper CPG company into a combined ~$32 billion global health and wellness leader spanning personal care and consumer health brands (Tylenol, Neutrogena, Listerine, Zyrtec) [1]. The deal received overwhelming shareholder approval in January 2026 and U.S. antitrust clearance has been secured. AI Deployment (1/2): Kimberly-Clark appointed Zack Hicks as Chief Digital and Technology Officer to lead a technology-driven transformation, but no customer-facing AI products or quantified internal AI savings have been disclosed [2]. Market Share (2/2): Kimberly-Clark holds category-leading positions in diapers (Huggies), facial/bath tissue (Kleenex, Scott, Cottonelle), and feminine/incontinence care (Kotex, Depend), and the pending Kenvue combination adds category leadership in OTC health (Tylenol) and skincare (Neutrogena) [1]. Product Pipeline (2/2): Management has disclosed specific, quantified merger synergy targets — approximately $1.9 billion in cost synergies within 3 years and $500 million in incremental revenue synergies within 4 years post-close — alongside a ~3.5% global workforce reduction and ~$250 million in FY2026 restructuring charges to prepare for integration [1]. R&amp;D Intensity (0/1): No data comparing Kimberly-Clark's R&amp;D spend to household/personal-products peers was identified.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Kimberly-Clark's purpose centers on providing essential care products for families, which is clear about the company's role but is not sharply differentiated from CPG peers like P&amp;G. Community Impact (0/2): No specific charitable programs with dollar amounts were identified in available disclosures. Employee Retention (1/2): Glassdoor reviews rate Kimberly-Clark 3.9/5 for work-life balance, 4.0/5 for culture and values, and 3.5/5 for career opportunities — solidly average-to-good — but reviewers also describe a conservative culture that 'slows down innovation' and note 'constant restructuring over the last 5 years,' now compounded by the pending Kenvue integration workforce reduction [2]. Insider Buying (0/2): No evidence of meaningful net insider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(dividend weighting). D/E of 348.93% is at the 300% floor and scores 0 — a significant drag reflecting the debt load associated with the pending $48.7B Kenvue acquisition. ROE of 104.91% comfortably clears the 15% target (capped at 1.0), though this is amplified by a leveraged, buyback-reduced equity base. Revenue growth YoY of 0.6% is well below the 10% target (score 0.69). Forward P/E of 14.83 clears the 20 target (capped at 1.0). Profit margin of 11.79% is below the 20% target (score 0.59). Revenue growth 5yr CAGR was unavailable and excluded. On dividend metrics: payout ratio of 100.40% sits at the 100% floor and scores 0, reflecting near-full earnings distribution ahead of the Kenvue deal. Kimberly-Clark is a Dividend King with roughly 91 consecutive years of dividend payments and 53 consecutive years of dividend increases, both capping at 1.0 (2x and 1x weight respectively). 5yr dividend growth CAGR of approximately 2.5% (from $4.56/share in 2021 to $5.04/share in 2025) is well below the 6% target, scoring 0.42 with 2x weight. Liquidity is not a concern: average volume of ~4.19M shares x $111.02 price = ~$465M in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Kimberly-Clark plays a moderately infinite game: the transformative $48.7B Kenvue acquisition and associated restructuring reflect a genuine willingness to bear near-term cost and complexity for long-term category leadership in health and wellness. However, the company's historical deforestation controversy — including a well-documented Greenpeace campaign and a 'natural forest-free' target still not reached decades later — undercuts the credibility of its 'Better Care' purpose, and Glassdoor reviews describing a conservative, frequently-restructured culture temper the trust picture.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Kimberly-Clark's care-focused purpose is undermined by a long, well-documented deforestation controversy — a 2006 Greenpeace investigation found the company sourcing fiber from old-growth boreal forest in the Kenogami Forest while publicly claiming sustainable sourcing, prompting sustained activist campaigns [3]. Even the company's current commitment only targets 'natural forest-free' status at 'some unspecified time after 2030,' nearly two decades after the original controversy — a pattern more consistent with reactive reputation management than a deeply lived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scores of 3.9/5 for work-life balance and 4.0/5 for culture and values are solidly positive, but reviewers describe a conservative culture that 'slow[s] down innovation' and note 'constant restructuring over the last 5 years' — a pattern now extending into the Kenvue integration, which includes a ~3.5% global workforce reduction [1][2].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management commentary framing competitors such as Procter &amp; Gamble as a source of self-improvement rather than a rival to defeat was identified in available materials.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$48.7 billion Kenvue acquisition represents a genuinely transformative reinvention — Kimberly-Clark is expanding beyond its century-old core of diapers, tissue, and paper products into OTC health and skincare (Tylenol, Neutrogena, Listerine), a bet on a fundamentally broader health-and-wellness category rather than incremental line extensions [1].</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Management committed to a $48.7 billion acquisition that materially increases leverage (D/E of 348.93%) and requires a ~3.5% global workforce reduction with ~$250 million in FY2026 restructuring charges — a costly, near-term-painful bet made in service of long-term category leadership in health and wellness rather than short-term earnings optimization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Kimberly-Clark's pending $48.7 billion acquisition of Kenvue, approved overwhelmingly by shareholders in January 2026 with U.S. antitrust clearance secured, transforms the company from a pure personal-care/tissue business into a ~$32 billion global health and wellness leader spanning Huggies, Kleenex, Tylenol, Neutrogena, and Listerine [1]. Management has identified approximately $1.9 billion in cost synergies within three years and $500 million in revenue synergies within four years, giving a credible, quantified path to margin expansion post-close. Forward P/E of 14.83x is inexpensive for a diversified consumer staples/health leader, and the stock offers a 4.61% dividend yield backed by Dividend King status — 53 consecutive years of dividend increases and roughly 91 years of uninterrupted payments.</w:t>
      </w:r>
    </w:p>
    <w:p>
      <w:pPr>
        <w:spacing w:after="120"/>
      </w:pPr>
      <w:r>
        <w:rPr>
          <w:rFonts w:ascii="Calibri" w:hAnsi="Calibri"/>
          <w:b w:val="0"/>
          <w:color w:val="3A4A28"/>
          <w:sz w:val="20"/>
        </w:rPr>
        <w:t>The bear case centers on integration and balance sheet risk. D/E of 348.93% reflects the debt taken on for the Kenvue deal, and a payout ratio of 100.40% leaves no cushion if merger integration costs or revenue dis-synergies emerge; the ~3.5% workforce reduction and $250 million in FY2026 restructuring charges add near-term execution risk on top of combining two large, complex organizations [1]. Revenue growth YoY of just 0.6% and a 5yr dividend growth CAGR of only ~2.5% (below the pace of inflation) show the standalone business has limited organic momentum ahead of the deal closing. Kimberly-Clark's historical deforestation controversy — including a 2006 Greenpeace campaign documenting old-growth boreal logging despite public sustainability claims — and a 'natural forest-free' target still not reached raise durability questions about the company's stated purpose, and Glassdoor reviews citing a conservative culture and repeated restructuring suggest change-management risk during Kenvue integration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Kenvue acquisition closing in H2 2026 with $1.9B in identified cost synergies over 3 years and $500M in revenue synergies over 4 years could meaningfully expand combined-company margins and diversify the revenue base into OTC health and skincare [1]</w:t>
      </w:r>
    </w:p>
    <w:p>
      <w:pPr>
        <w:spacing w:before="40" w:after="40"/>
        <w:ind w:left="283"/>
      </w:pPr>
      <w:r>
        <w:rPr>
          <w:rFonts w:ascii="Calibri" w:hAnsi="Calibri"/>
          <w:b/>
          <w:color w:val="4A6B25"/>
          <w:sz w:val="20"/>
        </w:rPr>
        <w:t xml:space="preserve">2. </w:t>
      </w:r>
      <w:r>
        <w:rPr>
          <w:rFonts w:ascii="Calibri" w:hAnsi="Calibri"/>
          <w:b w:val="0"/>
          <w:color w:val="3A4A28"/>
          <w:sz w:val="20"/>
        </w:rPr>
        <w:t>Forward P/E of 14.83x versus a 21.94x trailing multiple suggests the market is pricing in near-term earnings recovery as merger costs normalize and synergies begin to materialize [1]</w:t>
      </w:r>
    </w:p>
    <w:p>
      <w:pPr>
        <w:spacing w:before="40" w:after="40"/>
        <w:ind w:left="283"/>
      </w:pPr>
      <w:r>
        <w:rPr>
          <w:rFonts w:ascii="Calibri" w:hAnsi="Calibri"/>
          <w:b/>
          <w:color w:val="4A6B25"/>
          <w:sz w:val="20"/>
        </w:rPr>
        <w:t xml:space="preserve">3. </w:t>
      </w:r>
      <w:r>
        <w:rPr>
          <w:rFonts w:ascii="Calibri" w:hAnsi="Calibri"/>
          <w:b w:val="0"/>
          <w:color w:val="3A4A28"/>
          <w:sz w:val="20"/>
        </w:rPr>
        <w:t>Dividend King status (53 consecutive years of increases) combined with a 4.61% yield provides a durable income catalyst for the Dividend sleeve, independent of merger execution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348.93% and a payout ratio of 100.40% leave minimal financial flexibility if Kenvue integration costs exceed expectations or projected synergies are delayed beyond the disclosed 3-4 year timelines [1]</w:t>
      </w:r>
    </w:p>
    <w:p>
      <w:pPr>
        <w:spacing w:before="40" w:after="40"/>
        <w:ind w:left="283"/>
      </w:pPr>
      <w:r>
        <w:rPr>
          <w:rFonts w:ascii="Calibri" w:hAnsi="Calibri"/>
          <w:b/>
          <w:color w:val="4A6B25"/>
          <w:sz w:val="20"/>
        </w:rPr>
        <w:t xml:space="preserve">2. </w:t>
      </w:r>
      <w:r>
        <w:rPr>
          <w:rFonts w:ascii="Calibri" w:hAnsi="Calibri"/>
          <w:b w:val="0"/>
          <w:color w:val="3A4A28"/>
          <w:sz w:val="20"/>
        </w:rPr>
        <w:t>Revenue growth YoY of just 0.6% and earnings growth of -32.3% show standalone operating momentum is weak heading into a complex, multi-year integration [1]</w:t>
      </w:r>
    </w:p>
    <w:p>
      <w:pPr>
        <w:spacing w:before="40" w:after="40"/>
        <w:ind w:left="283"/>
      </w:pPr>
      <w:r>
        <w:rPr>
          <w:rFonts w:ascii="Calibri" w:hAnsi="Calibri"/>
          <w:b/>
          <w:color w:val="4A6B25"/>
          <w:sz w:val="20"/>
        </w:rPr>
        <w:t xml:space="preserve">3. </w:t>
      </w:r>
      <w:r>
        <w:rPr>
          <w:rFonts w:ascii="Calibri" w:hAnsi="Calibri"/>
          <w:b w:val="0"/>
          <w:color w:val="3A4A28"/>
          <w:sz w:val="20"/>
        </w:rPr>
        <w:t>Historical deforestation controversy and an unmet 'natural forest-free' commitment (still targeted for 'some unspecified time after 2030') create reputational and regulatory overhang that could resurface as ESG-focused institutional scrutiny intensifies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IMMUNE — Kimberly-Clark's core business is the physical manufacture and distribution of diapers, tissue, and personal care products that AI cannot digitally substitute; demand for essential household staples is structurally insulated from AI disruption. The pending Kenvue combination adds physical OTC health and skincare manufacturing, further reinforcing the physical-product moat [1]. The primary competitive risks are private-label and DTC brand competition, not AI substitution. AI Opportunity (0/1): No quantifiable AI-related revenue was identified; the Chief Digital and Technology Officer's mandate is framed around internal digital transformation rather than a monetized AI product line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Kimberly-Clark / Kenvue Merger — Kenvue Investor Relations, Yahoo Finance, 24/7 Wall St., Simply Wall St, 2025-2026</w:t>
      </w:r>
    </w:p>
    <w:p>
      <w:pPr>
        <w:spacing w:before="20" w:after="20"/>
        <w:ind w:left="170"/>
      </w:pPr>
      <w:r>
        <w:rPr>
          <w:rFonts w:ascii="Calibri" w:hAnsi="Calibri"/>
          <w:b/>
          <w:color w:val="4A6B25"/>
          <w:sz w:val="15"/>
        </w:rPr>
        <w:t xml:space="preserve">2. </w:t>
      </w:r>
      <w:r>
        <w:rPr>
          <w:rFonts w:ascii="Calibri" w:hAnsi="Calibri"/>
          <w:b w:val="0"/>
          <w:color w:val="3A4A28"/>
          <w:sz w:val="17"/>
        </w:rPr>
        <w:t>Kimberly-Clark Leadership and Culture — Glassdoor Reviews, CIO.com (Zack Hicks profile), CDO Magazine, 2025-2026</w:t>
      </w:r>
    </w:p>
    <w:p>
      <w:pPr>
        <w:spacing w:before="20" w:after="20"/>
        <w:ind w:left="170"/>
      </w:pPr>
      <w:r>
        <w:rPr>
          <w:rFonts w:ascii="Calibri" w:hAnsi="Calibri"/>
          <w:b/>
          <w:color w:val="4A6B25"/>
          <w:sz w:val="15"/>
        </w:rPr>
        <w:t xml:space="preserve">3. </w:t>
      </w:r>
      <w:r>
        <w:rPr>
          <w:rFonts w:ascii="Calibri" w:hAnsi="Calibri"/>
          <w:b w:val="0"/>
          <w:color w:val="3A4A28"/>
          <w:sz w:val="17"/>
        </w:rPr>
        <w:t>Kimberly-Clark Deforestation Controversy and Forest Policy — Greenpeace, NRDC, Trellis, ESG Today, 2005-2024</w:t>
      </w:r>
    </w:p>
    <w:p>
      <w:pPr>
        <w:spacing w:before="20" w:after="20"/>
        <w:ind w:left="170"/>
      </w:pPr>
      <w:r>
        <w:rPr>
          <w:rFonts w:ascii="Calibri" w:hAnsi="Calibri"/>
          <w:b/>
          <w:color w:val="4A6B25"/>
          <w:sz w:val="15"/>
        </w:rPr>
        <w:t xml:space="preserve">4. </w:t>
      </w:r>
      <w:r>
        <w:rPr>
          <w:rFonts w:ascii="Calibri" w:hAnsi="Calibri"/>
          <w:b w:val="0"/>
          <w:color w:val="3A4A28"/>
          <w:sz w:val="17"/>
        </w:rPr>
        <w:t>Yahoo Finance — KMB Key Statistics and Dividend History,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