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KMPR</w:t>
      </w:r>
      <w:r>
        <w:rPr>
          <w:rFonts w:ascii="Calibri" w:hAnsi="Calibri"/>
          <w:b/>
          <w:color w:val="1A2010"/>
          <w:sz w:val="40"/>
        </w:rPr>
        <w:t xml:space="preserve">  Kemper Corporation</w:t>
      </w:r>
    </w:p>
    <w:p>
      <w:pPr>
        <w:spacing w:after="120"/>
      </w:pPr>
      <w:r>
        <w:rPr>
          <w:rFonts w:ascii="Calibri" w:hAnsi="Calibri"/>
          <w:b/>
          <w:color w:val="6E8450"/>
          <w:sz w:val="18"/>
        </w:rPr>
        <w:t>DIVIDEND SLEEVE · 2026-10-01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Property &amp; Casualty · NYSE · United States</w:t>
      </w:r>
    </w:p>
    <w:p>
      <w:pPr>
        <w:spacing w:after="80"/>
      </w:pPr>
      <w:r>
        <w:rPr>
          <w:rFonts w:ascii="Calibri" w:hAnsi="Calibri"/>
          <w:b w:val="0"/>
          <w:color w:val="3A4A28"/>
          <w:sz w:val="20"/>
        </w:rPr>
        <w:t>Kemper Corporation is a Chicago-based insurance holding company providing specialty property and casualty insurance (primarily non-standard personal auto), life insurance, and related financial services. The company serves underserved and specialty markets through independent agents and direct channels. Q2 2026 adjusted EPS of $0.45 beat consensus by $0.11, but a $464.8M non-cash goodwill impairment in the specialty auto segment resulted in a GAAP net loss of $7.90/share. Revenue declining as personal auto volumes contract, with earned premiums down $119M YoY in Q2.</w:t>
      </w:r>
    </w:p>
    <w:p>
      <w:r>
        <w:rPr>
          <w:rFonts w:ascii="Calibri" w:hAnsi="Calibri"/>
          <w:b/>
          <w:color w:val="6E8450"/>
          <w:sz w:val="18"/>
        </w:rPr>
        <w:t>7,300 Employees · https://www.kemper.com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Kemper has executed a strategic restructuring targeting annualized run-rate savings and established a 'profitability first' mandate, but revenue declined from a 2022 peak of $5.45B to current run-rate below $4.4B, and the $464.8M goodwill impairment in Q2 2026 signals the specialty auto expansion has failed to deliver expected value [1]. The restructuring represents operational correction, not innovation. AI Deployment (1/2): Kemper has embedded AI tools for underwriting efficiency, claims processing, and fraud detection, deploying predictive analytics to assess risks using historical and real-time data [3]. However, implementation challenges persist — AI-driven fraud detection generates false positives, automated photo estimating inaccurately assesses vehicle damage, and ML models show high variance from actual claim costs [3]. These are real deployments but with unquantified and mixed results. Market Share (0/2): Kemper is a mid-tier specialty auto insurer with declining volumes — earned premiums fell $119.2M YoY in Q2 2026, primarily from lower personal auto volumes, and the company is not gaining share in any segment [1]. Product Pipeline (0/2): No next-generation products, insurtech capabilities, or innovation pipeline identified beyond incremental ECO upgrade coverages and green home discounts [4]. R&amp;D Intensity (0/1): No notable technology investment relative to insurance industry peers who are actively deploying AI for pricing, claims, and underwriting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Kemper's corporate messaging around providing insurance products to 'protect individuals and businesses from risk' is generic and interchangeable with virtually any insurance company [4]. The mission does not articulate a deeper purpose or distinguish Kemper from hundreds of P&amp;C carriers. Community Impact (1/2): The $4.5M Kemper Scholars Program supports scholarships and diversity initiatives at 10 universities including 6 HBCUs and Hispanic-Serving Institutions — a specific, quantified community investment aligned with the company's service to underserved markets [4]. Employee Retention (0/2): CEO Lacher scored D (54/100) on Comparably with executive team rated 48/100, placing Kemper in the bottom 15% of peer-sized companies [3]. Reviews cite 'high turnover,' 'low pay,' and 'never ending changing procedures.' The CEO transition from Lacher to Stephen McAnena in May 2026 adds organizational uncertainty. Insider Buying (2/2): Over the past year, seven insider purchases totaling approximately $1.5M with zero insider sells — Director Stuart Parker purchased 25,000 shares ($750K+) [5]. Multiple executives putting personal capital in during operational difficulty demonstrates genuine leadership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64.0% is below the 70% target (score 1.0). ROE of -19.7% is deeply negative due to the $464.8M goodwill impairment (score 0.0). Revenue growth YoY of -9.1% reflecting Q2 2026 earned premium decline (score 0.36). 5-year revenue CAGR of approximately -1% reflecting decline from peak (score 0.27). Forward P/E of 5.91 is exceptionally attractive versus the 20 target (score 1.0). Profit margin of -10.8% is negative due to the impairment (score 0.0). Payout ratio of 177.8% on GAAP basis is distorted by impairment; on adjusted operating earnings ~65% (score 0.0 on reported basis). Consecutive years paid: 37+ years since at least 1990 (score 1.0, 2x weight). Consecutive years growth: 1 year — dividend flat at $1.24 from 2021-2024, increased to $1.28 in 2025 (score 0.1). 5-year dividend growth CAGR: 1.3% from $1.20 (2020) to $1.28 (2025) (score 0.22, 2x weight). Weighted sum 5.01/12 = 4. Daily dollar volume of ~$22M provides adequate liquidity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Kemper operates as a financially-driven insurance holding company with a generic mission, declining revenue, and recent strategic decisions driven by defensive restructuring rather than purposeful vision. The $464.8M goodwill impairment, CEO turnover (Lacher to McAnena), and contracting premium volumes signal a company managing crisis rather than playing to keep playing. The strong insider buying ($1.5M, 7 buys, 0 sells) provides a bright spot — leadership is investing in the future — but the organizational identity is fundamentally finite.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Kemper's mission centers on providing insurance products to protect individuals from risk — a purpose functionally identical to every other insurance company [4]. The company does serve underserved and specialty markets (including the Hispanic community), which could constitute a genuine cause of expanding financial protection access. However, this is articulated as business strategy rather than a Just Cause that inspires sacrifice. Sinek would not recognize this as a vision worth fighting for.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3.5/5 for culture with 66% recommendation rate is average for insurance [3]. CEO Lacher scored D (54/100) on Comparably leadership, and reviews cite 'high turnover' and 'never ending changing procedures.' The CEO transition to McAnena in May 2026 and ongoing restructuring create organizational turbulence. However, the strong insider buying by directors and executives does signal that leadership believes in the organization's future, which Sinek would view positively [5].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Kemper's competitive positioning focuses on defending declining market share in specialty auto against larger carriers and insurtech entrants [1]. The 'profitability first' mandate and restructuring are defensive postures focused on survival rather than learning from rivals or self-improvement through competitive pressure.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Kemper has not demonstrated transformative strategic flexibility. The response to declining performance has been defensive — restructuring, headcount reduction, exiting unprofitable auto lines [1]. The $464.8M goodwill impairment represents admission that the specialty auto expansion strategy failed. The company clings to its legacy business model rather than pivoting toward digital/AI-enabled insurance.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Taking a $464.8M non-cash goodwill impairment is a painful but honest accounting decision that demonstrates willingness to acknowledge failure rather than carry inflated asset values [1]. The 'profitability first' mandate shows discipline. The strong insider buying — 7 buys totaling $1.5M with zero sells during operational difficulty — demonstrates personal financial courage from leadership [5]. However, these are crisis-management decisions rather than proactive long-term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Kemper presents a deep value contrarian case with Forward P/E of 5.91x, PEG of 0.75, and a 5.12% dividend yield supported by 37 consecutive years of payments [6]. Seven insider purchases totaling $1.5M with zero insider sells signal genuine leadership conviction in the turnaround [5]. Forward EPS estimates of ~$4.23 imply the adjusted operating business is far healthier than GAAP figures distorted by the one-time $464.8M goodwill impairment, and the Q2 2026 adjusted EPS of $0.45 beating consensus by $0.11 suggests operational stabilization [1]. The life insurance segment provides diversified earnings support, and analysts project 115% earnings growth for 2027 with revenue estimates averaging $4.88B [6].</w:t>
      </w:r>
    </w:p>
    <w:p>
      <w:pPr>
        <w:spacing w:after="120"/>
      </w:pPr>
      <w:r>
        <w:rPr>
          <w:rFonts w:ascii="Calibri" w:hAnsi="Calibri"/>
          <w:b w:val="0"/>
          <w:color w:val="3A4A28"/>
          <w:sz w:val="20"/>
        </w:rPr>
        <w:t>The primary risk is that Kemper's specialty auto turnaround fails. The $464.8M goodwill impairment signals the specialty auto franchise has materially less value than previously carried, and earned premiums declined $119.2M YoY in Q2 2026 as personal auto volumes contract [1]. Revenue has declined from a 2022 peak of $5.45B to a current run-rate below $4.4B. Short interest of 10.0% reflects bearish institutional sentiment [6]. ROE of -19.7% and profit margin of -10.8% — even distorted by the impairment — underscore operational challenges. AI-enabled insurtech competitors could disrupt non-standard auto through algorithmic underwriting, accelerating adverse selection against Kemper's traditional agency model [3]. The $1.28 annual dividend against negative GAAP earnings requires adjusted operating income recovery toward $3+ EPS within 12-18 months, or the 37-year payment streak faces pressure.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Restructuring program targeting annualized savings combined with 'profitability first' mandate could restore margins, with Q2 2026 adjusted EPS of $0.45 beating consensus by $0.11 suggesting early traction [1]</w:t>
      </w:r>
    </w:p>
    <w:p>
      <w:pPr>
        <w:spacing w:before="40" w:after="40"/>
        <w:ind w:left="283"/>
      </w:pPr>
      <w:r>
        <w:rPr>
          <w:rFonts w:ascii="Calibri" w:hAnsi="Calibri"/>
          <w:b/>
          <w:color w:val="4A6B25"/>
          <w:sz w:val="20"/>
        </w:rPr>
        <w:t xml:space="preserve">2. </w:t>
      </w:r>
      <w:r>
        <w:rPr>
          <w:rFonts w:ascii="Calibri" w:hAnsi="Calibri"/>
          <w:b w:val="0"/>
          <w:color w:val="3A4A28"/>
          <w:sz w:val="20"/>
        </w:rPr>
        <w:t>Seven insider buys totaling $1.5M+ with zero sells — including Director Stuart Parker's 25,000-share purchase — signal strong leadership conviction at current valuations [5]</w:t>
      </w:r>
    </w:p>
    <w:p>
      <w:pPr>
        <w:spacing w:before="40" w:after="40"/>
        <w:ind w:left="283"/>
      </w:pPr>
      <w:r>
        <w:rPr>
          <w:rFonts w:ascii="Calibri" w:hAnsi="Calibri"/>
          <w:b/>
          <w:color w:val="4A6B25"/>
          <w:sz w:val="20"/>
        </w:rPr>
        <w:t xml:space="preserve">3. </w:t>
      </w:r>
      <w:r>
        <w:rPr>
          <w:rFonts w:ascii="Calibri" w:hAnsi="Calibri"/>
          <w:b w:val="0"/>
          <w:color w:val="3A4A28"/>
          <w:sz w:val="20"/>
        </w:rPr>
        <w:t>Analyst-projected 115% earnings growth for 2027 to ~$4.23 EPS would validate the deep value thesis at the current 5.91x forward multiple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Specialty auto turnaround may fail — $464.8M goodwill impairment, earned premiums declining $119M YoY, and management's acknowledgment that double-digit rate increases are needed but not guaranteed in key states [1]</w:t>
      </w:r>
    </w:p>
    <w:p>
      <w:pPr>
        <w:spacing w:before="40" w:after="40"/>
        <w:ind w:left="283"/>
      </w:pPr>
      <w:r>
        <w:rPr>
          <w:rFonts w:ascii="Calibri" w:hAnsi="Calibri"/>
          <w:b/>
          <w:color w:val="4A6B25"/>
          <w:sz w:val="20"/>
        </w:rPr>
        <w:t xml:space="preserve">2. </w:t>
      </w:r>
      <w:r>
        <w:rPr>
          <w:rFonts w:ascii="Calibri" w:hAnsi="Calibri"/>
          <w:b w:val="0"/>
          <w:color w:val="3A4A28"/>
          <w:sz w:val="20"/>
        </w:rPr>
        <w:t>AI-enabled insurtech competitors could disrupt non-standard auto through algorithmic underwriting and dynamic pricing, accelerating adverse selection against Kemper's traditional agency distribution model [3]</w:t>
      </w:r>
    </w:p>
    <w:p>
      <w:pPr>
        <w:spacing w:before="40" w:after="40"/>
        <w:ind w:left="283"/>
      </w:pPr>
      <w:r>
        <w:rPr>
          <w:rFonts w:ascii="Calibri" w:hAnsi="Calibri"/>
          <w:b/>
          <w:color w:val="4A6B25"/>
          <w:sz w:val="20"/>
        </w:rPr>
        <w:t xml:space="preserve">3. </w:t>
      </w:r>
      <w:r>
        <w:rPr>
          <w:rFonts w:ascii="Calibri" w:hAnsi="Calibri"/>
          <w:b w:val="0"/>
          <w:color w:val="3A4A28"/>
          <w:sz w:val="20"/>
        </w:rPr>
        <w:t>Dividend sustainability at risk — $1.28 annual dividend against negative GAAP earnings and 177.8% payout ratio requires adjusted operating income recovery to $3+ EPS, or the 37-year payment streak faces pressure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Kemper's specialty auto insurance business faces meaningful AI disruption risk from insurtech competitors deploying AI-driven underwriting, dynamic pricing, and automated claims processing [3]. The non-standard auto segment is particularly vulnerable — algorithmic underwriting could enable competitors to cherry-pick profitable risks while Kemper faces adverse selection. However, insurance is a heavily regulated industry requiring state-by-state licensing, rate filings, and compliance infrastructure that creates barriers for AI-native entrants. Kemper's agent distribution network and established relationships in specialty markets provide some defensive moat. AI Opportunity (1/1): Kemper has deployed AI tools in underwriting, claims processing, and fraud detection — using predictive analytics for risk assessment with historical and real-time data, though implementation results are mixed with false positive and accuracy challenges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Kemper Corporation Q2 2026 Operating Results and $464.8M Impairment — Investor Relations, Investing.com, SEC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Kemper Corporation Q1 2026 Operating Results — SEC Filing, May 2026</w:t>
      </w:r>
    </w:p>
    <w:p>
      <w:pPr>
        <w:spacing w:before="20" w:after="20"/>
        <w:ind w:left="170"/>
      </w:pPr>
      <w:r>
        <w:rPr>
          <w:rFonts w:ascii="Calibri" w:hAnsi="Calibri"/>
          <w:b/>
          <w:color w:val="4A6B25"/>
          <w:sz w:val="15"/>
        </w:rPr>
        <w:t xml:space="preserve">3. </w:t>
      </w:r>
      <w:r>
        <w:rPr>
          <w:rFonts w:ascii="Calibri" w:hAnsi="Calibri"/>
          <w:b w:val="0"/>
          <w:color w:val="3A4A28"/>
          <w:sz w:val="17"/>
        </w:rPr>
        <w:t>Kemper Leadership, Glassdoor Reviews, AI Deployment — Glassdoor, Comparably, Goldman Sachs,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Kemper Corporation ESG Report, Kemper Scholars Program — BusinessWire, 2022</w:t>
      </w:r>
    </w:p>
    <w:p>
      <w:pPr>
        <w:spacing w:before="20" w:after="20"/>
        <w:ind w:left="170"/>
      </w:pPr>
      <w:r>
        <w:rPr>
          <w:rFonts w:ascii="Calibri" w:hAnsi="Calibri"/>
          <w:b/>
          <w:color w:val="4A6B25"/>
          <w:sz w:val="15"/>
        </w:rPr>
        <w:t xml:space="preserve">5. </w:t>
      </w:r>
      <w:r>
        <w:rPr>
          <w:rFonts w:ascii="Calibri" w:hAnsi="Calibri"/>
          <w:b w:val="0"/>
          <w:color w:val="3A4A28"/>
          <w:sz w:val="17"/>
        </w:rPr>
        <w:t>Kemper Corporation Insider Buying Activity — GuruFocus, Simply Wall St, 2025-2026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StockAnalysis — KMPR Key Statistics, Forward PE, Dividend History,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