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KOPN</w:t>
      </w:r>
      <w:r>
        <w:rPr>
          <w:rFonts w:ascii="Calibri" w:hAnsi="Calibri"/>
          <w:b/>
          <w:color w:val="1A2010"/>
          <w:sz w:val="40"/>
        </w:rPr>
        <w:t xml:space="preserve">  Kopin Corporation</w:t>
      </w:r>
    </w:p>
    <w:p>
      <w:pPr>
        <w:spacing w:after="120"/>
      </w:pPr>
      <w:r>
        <w:rPr>
          <w:rFonts w:ascii="Calibri" w:hAnsi="Calibri"/>
          <w:b/>
          <w:color w:val="6E8450"/>
          <w:sz w:val="18"/>
        </w:rPr>
        <w:t>GROWTH SLEEVE · 2026-09-07 · Inspire: 63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&amp; Semiconductor Equipment · NASDAQ · United States</w:t>
      </w:r>
    </w:p>
    <w:p>
      <w:pPr>
        <w:spacing w:after="80"/>
      </w:pPr>
      <w:r>
        <w:rPr>
          <w:rFonts w:ascii="Calibri" w:hAnsi="Calibri"/>
          <w:b w:val="0"/>
          <w:color w:val="3A4A28"/>
          <w:sz w:val="20"/>
        </w:rPr>
        <w:t>Kopin Corporation is a 40-year-old microdisplay and application-specific optical solutions provider for defense, AI infrastructure, enterprise, and consumer markets. Products include micro-OLED and MicroLED displays for thermal weapon sights, pilot helmet-mounted display systems, armored vehicle targeting, and drone vision systems. Defense applications generated 74% of FY2025 revenue. The company reported Q2 2026 revenue of $12.7M (+51% YoY), swung to GAAP profitability, and received $45M in orders YTD 2026. Kopin is expanding into AI infrastructure through the Fabric.AI Neural I/O collaboration for MicroLED optical interconnects, with a joint steering committee launched August 2026. Headquartered in Westborough, Massachusetts.</w:t>
      </w:r>
    </w:p>
    <w:p>
      <w:r>
        <w:rPr>
          <w:rFonts w:ascii="Calibri" w:hAnsi="Calibri"/>
          <w:b/>
          <w:color w:val="6E8450"/>
          <w:sz w:val="18"/>
        </w:rPr>
        <w:t>200 Employees · https://www.kopin.com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Kopin has evolved from a pure microdisplay component supplier to an 'application-specific optical solutions provider,' broadening its addressable market. The Fabric.AI collaboration ($15M development order, exclusive manufacturing rights, 19.9% equity stake) opens a new revenue stream in AI data center optical interconnects [1][2]. NeuralDisplay architecture — developed with MIT CSAIL — represents a genuine technology breakthrough integrating eye-tracking with ML-adaptive micro-OLED displays [4]. In August 2026, a joint steering committee with Fabric.AI was launched for Neural I/O industry engagement [5]. AI Deployment (1/2): NeuralDisplay uses machine learning to dynamically adjust displays to user vision requirements [4]. The Fabric.AI Neural I/O chipset uses MicroLED-based optical interconnects to improve AI data center bandwidth and reduce power — a direct AI infrastructure product entering production. Market Share (2/2): Dominant supplier of microdisplays for US military thermal weapon sights, pilot HMDs, and targeting systems, with sole-source IDIQ defense contracts and multi-decade customer relationships with prime defense contractors [1][2]. Product Pipeline (2/2): Specific next-gen products with revenue visibility: Fabric.AI chipset expected $15M+ in 2026 scaling to $25-50M in 2027; Sentinel FPV drone displays ($3.2M initial order); DarkWAVE thermal displays for European markets (first order from THEON); Phase 1 SBIR for soldier-borne MicroLEDs; in-house US OLED manufacturing for defense [2]. Management targets $100M revenue by 2028 [6]. R&amp;D Intensity (1/1): Heavy R&amp;D investment relative to the $50M revenue base, well above semiconductor industry average, driving the NeuralDisplay and Fabric.AI breakthroughs.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Kopin's purpose — 'to optimize human performance in precision applications when it matters the most' — is specific, thoughtful, and connects microdisplay technology to soldier safety, pilot situational awareness, and life-critical operational effectiveness [4]. This is not boilerplate; it reflects 40 years of focused execution in defense optics where display quality directly impacts mission outcomes and personnel survival. The purpose differentiates from peers and clearly shapes product development priorities. Community Impact (1/2): Kopin announced a comprehensive ESG framework in July 2025 including governance, labor practices, business ethics, and environmental pillars [3]. Responsible sourcing and supply chain compliance programs are active, though no specific charitable programs or dollar amounts were identified. Employee Retention (0/2): No specific employee retention, tenure, or turnover data available. CEO Michael Murray (since September 2022) has been making key executive appointments to accelerate the growth strategy. Insider Buying (0/2): No meaningful insider buying data identified in public filings during the review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The standout positive is the near-zero D/E of 2% (current ratio 2.61), reflecting a clean balance sheet with virtually no leverage — scoring 1.0 [7]. Q2 2026 revenue of $12.7M surged 51% YoY from $8.5M, scoring maximum on YoY revenue growth and marking a dramatic acceleration from Q1's flat 1% [6]. Five-year revenue CAGR of approximately 5% (from $45.67M in 2021 to ~$56M guided for 2026) scores 0.67 at 2x weight. However, ROE of 4.42% is well below the 15% target, scoring 0.30 at 2x weight [7]. Profit margin of 4.9% on a TTM basis is positive but far below the 20% target, scoring 0.25 — though Q2 2026 showed strong improvement with gross profit of $6.1M (48% gross margin) on $12.7M revenue [6]. Forward P/E and PEG are excluded as unreliable during the profitability transition. Liquidity floor passes: $4.28 x 4.22M avg volume = $18.1M daily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Kopin has meaningful elements of infinite thinking — a 40-year history of microdisplay innovation, a specific mission connecting technology to human performance in life-critical applications, and willingness to evolve from components to optical solutions to AI infrastructure. CEO Michael Murray's Fabric.AI bet represents genuine courage for a small company. However, the company's limited organizational depth, CEO tenure of only 4 years, and lack of evidence for trust-building or competitive philosophy prevent a higher score. Kopin is still proving whether its purpose will drive decades of consistent execution.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Kopin's purpose — optimizing human performance in precision applications when it matters most — is a genuine cause connecting microdisplay technology to soldier safety and operational effectiveness [4]. The 40-year history of focused work in defense optics provides partial validation, and the purpose clearly shapes product priorities (thermal sights for soldiers, HMDs for pilots, drone vision for battlefield awareness). However, the company has endured financial distress and leadership changes that tested this purpose, and the pivot to AI infrastructure (Fabric.AI Neural I/O) suggests the Just Cause may be evolving beyond its original defense-centric articulation.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employee empowerment, long tenure, or cultural practices creating psychological safety. CEO Michael Murray has been in role since September 2022, and the company culture is described as 'innovation, engineering excellence, and collaboration' [4]. With approximately 200 employees and limited public data, there is insufficient evidence to assess the trust environment beyond generic corporate language.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competitive commentary or rival acknowledgment found in public communications. Kopin positions itself as a technology leader in microdisplays and AI optical interconnects without referencing competitors' strengths as motivation for improvement [1][4]. No evidence of the infinite-minded competitive awareness Sinek looks for.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Kopin has evolved significantly over its 40-year history — from III-V semiconductor research to microdisplay components to application-specific optical solutions and now AI infrastructure optical interconnects [4]. The Fabric.AI collaboration and in-house US OLED manufacturing represent genuine strategic expansion into adjacent markets [5]. These pivots have been incremental and additive rather than transformative — the company retains its core defense display business while building new capabilities.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Fabric.AI partnership — committing to exclusive manufacturing rights, a 19.9% equity stake, and R&amp;D resources for a new optical interconnect architecture — represents a genuine bet on future capability [1][2]. This was made while the company was barely profitable, demonstrating willingness to invest when the margin of error was slim. The August 2026 joint steering committee under CEO Murray signals deepening commitment [5]. The decision to bring OLED manufacturing in-house in the US for defense customers is another costly long-term bet requiring capital investment but strengthening the defense moat.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Kopin is a 40-year defense microdisplay specialist transforming into an optical solutions platform with a compelling AI infrastructure catalyst. Q2 2026 revenue surged 51% YoY to $12.7M with gross profit of $6.1M (48% margin), swinging to GAAP profitability and validating the growth inflection [6]. The company received $45M in orders YTD 2026, and full-year guidance of $52-60M implies 30-50% annual growth. The Fabric.AI collaboration ($15M initial order, exclusive MicroLED manufacturing rights, 19.9% equity stake) opens a potentially transformative AI data center revenue stream, with a joint steering committee launched August 2026 under CEO Murray signaling accelerating commitment [5]. Defense backlog expanded significantly with a $21.5M thermal imaging follow-on, $3.2M Sentinel FPV, $5M+ European HMD awards, and first DarkWAVE order [2]. Management targets $100M revenue by 2028.</w:t>
      </w:r>
    </w:p>
    <w:p>
      <w:pPr>
        <w:spacing w:after="120"/>
      </w:pPr>
      <w:r>
        <w:rPr>
          <w:rFonts w:ascii="Calibri" w:hAnsi="Calibri"/>
          <w:b w:val="0"/>
          <w:color w:val="3A4A28"/>
          <w:sz w:val="20"/>
        </w:rPr>
        <w:t>The bear case centers on execution risk at speculative valuation. With $4.28 stock price and ~200M shares outstanding, the ~$860M market cap trades at roughly 15x 2026 revenue guidance midpoint — pricing in flawless execution on both defense backlog conversion and the speculative Fabric.AI opportunity [7]. Profit margin of 4.9% TTM remains thin, and while Q2 showed improvement, sustained GAAP profitability has not been demonstrated across a full cycle. The Fabric.AI opportunity relies on early-stage MicroLED optical interconnect technology competing against established silicon photonics from well-funded competitors like Broadcom and Intel. Five-year revenue CAGR of only ~5% (from $45.67M in 2021 to ~$56M guided for 2026) shows that the growth inflection is very recent and not yet validated over a multi-year period [7]. The company's 40-year history includes multiple periods of financial distress — FY2024 saw a $43.9M net loss — suggesting execution risk is non-trivial for a 200-person company attempting to serve both defense and AI markets simultaneously.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inflection (+51% YoY to $12.7M) validates the growth story — H2 2026 backlog conversion from $45M YTD orders should accelerate toward the $52-60M annual guidance, with management targeting GAAP profitability by Q4 2026 [6]</w:t>
      </w:r>
    </w:p>
    <w:p>
      <w:pPr>
        <w:spacing w:before="40" w:after="40"/>
        <w:ind w:left="283"/>
      </w:pPr>
      <w:r>
        <w:rPr>
          <w:rFonts w:ascii="Calibri" w:hAnsi="Calibri"/>
          <w:b/>
          <w:color w:val="4A6B25"/>
          <w:sz w:val="20"/>
        </w:rPr>
        <w:t xml:space="preserve">2. </w:t>
      </w:r>
      <w:r>
        <w:rPr>
          <w:rFonts w:ascii="Calibri" w:hAnsi="Calibri"/>
          <w:b w:val="0"/>
          <w:color w:val="3A4A28"/>
          <w:sz w:val="20"/>
        </w:rPr>
        <w:t>Fabric.AI Neural I/O partnership deepening — August 2026 joint steering committee launch signals transition from development to commercialization, with potential to scale from $15M to $25-50M in 2027 revenue [5]</w:t>
      </w:r>
    </w:p>
    <w:p>
      <w:pPr>
        <w:spacing w:before="40" w:after="40"/>
        <w:ind w:left="283"/>
      </w:pPr>
      <w:r>
        <w:rPr>
          <w:rFonts w:ascii="Calibri" w:hAnsi="Calibri"/>
          <w:b/>
          <w:color w:val="4A6B25"/>
          <w:sz w:val="20"/>
        </w:rPr>
        <w:t xml:space="preserve">3. </w:t>
      </w:r>
      <w:r>
        <w:rPr>
          <w:rFonts w:ascii="Calibri" w:hAnsi="Calibri"/>
          <w:b w:val="0"/>
          <w:color w:val="3A4A28"/>
          <w:sz w:val="20"/>
        </w:rPr>
        <w:t>Defense backlog acceleration from $21.5M thermal imaging follow-on, Sentinel FPV drone program, European HMD expansion (DarkWAVE/THEON), and in-house US OLED manufacturing strengthening sole-source competitive position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Speculative valuation at ~15x forward revenue on a barely profitable company — any miss on $52-60M FY2026 guidance or slowdown in Fabric.AI commercialization could produce severe drawdown [7]</w:t>
      </w:r>
    </w:p>
    <w:p>
      <w:pPr>
        <w:spacing w:before="40" w:after="40"/>
        <w:ind w:left="283"/>
      </w:pPr>
      <w:r>
        <w:rPr>
          <w:rFonts w:ascii="Calibri" w:hAnsi="Calibri"/>
          <w:b/>
          <w:color w:val="4A6B25"/>
          <w:sz w:val="20"/>
        </w:rPr>
        <w:t xml:space="preserve">2. </w:t>
      </w:r>
      <w:r>
        <w:rPr>
          <w:rFonts w:ascii="Calibri" w:hAnsi="Calibri"/>
          <w:b w:val="0"/>
          <w:color w:val="3A4A28"/>
          <w:sz w:val="20"/>
        </w:rPr>
        <w:t>Sustained profitability unproven — FY2024 posted a $43.9M net loss and TTM profit margin is only 4.9%; the Q2 2026 profitability swing must be maintained through multiple quarters to validate the business model at scale</w:t>
      </w:r>
    </w:p>
    <w:p>
      <w:pPr>
        <w:spacing w:before="40" w:after="40"/>
        <w:ind w:left="283"/>
      </w:pPr>
      <w:r>
        <w:rPr>
          <w:rFonts w:ascii="Calibri" w:hAnsi="Calibri"/>
          <w:b/>
          <w:color w:val="4A6B25"/>
          <w:sz w:val="20"/>
        </w:rPr>
        <w:t xml:space="preserve">3. </w:t>
      </w:r>
      <w:r>
        <w:rPr>
          <w:rFonts w:ascii="Calibri" w:hAnsi="Calibri"/>
          <w:b w:val="0"/>
          <w:color w:val="3A4A28"/>
          <w:sz w:val="20"/>
        </w:rPr>
        <w:t>Fabric.AI MicroLED optical interconnects compete against mature silicon photonics technologies from well-capitalized incumbents (Broadcom, Intel), and the $15M initial order may not represent sustainable long-term demand in a rapidly evolving AI infrastructure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Kopin's core defense microdisplay business is structurally immune to AI disruption. Thermal weapon sights, pilot helmet-mounted displays, and armored vehicle targeting systems require specialized physical hardware manufactured to military specifications with multi-year qualification cycles and ITAR-controlled supply chains [1][2]. AI cannot substitute physical microdisplay components. Moreover, AI-driven military modernization — autonomous drones, AI-assisted targeting, augmented reality battlefield awareness — directly increases demand for Kopin's advanced display technologies. The Sentinel FPV drone program and expanding European defense orders demonstrate this AI-as-tailwind dynamic [2]. AI Opportunity (1/1): The Fabric.AI collaboration positions Kopin as a direct supplier of AI infrastructure — MicroLED-based optical interconnects for data centers improving bandwidth while reducing power consumption. The $15M development order, exclusive manufacturing rights, and August 2026 joint steering committee under CEO Michael Murray represent tangible AI revenue scaling toward $25-50M in 2027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Kopin Corporation Q1 2026 Earnings Release — Revenue $10.6M, Defense Backlog Expansion — kopin.com, May 2026</w:t>
      </w:r>
    </w:p>
    <w:p>
      <w:pPr>
        <w:spacing w:before="20" w:after="20"/>
        <w:ind w:left="170"/>
      </w:pPr>
      <w:r>
        <w:rPr>
          <w:rFonts w:ascii="Calibri" w:hAnsi="Calibri"/>
          <w:b/>
          <w:color w:val="4A6B25"/>
          <w:sz w:val="15"/>
        </w:rPr>
        <w:t xml:space="preserve">2. </w:t>
      </w:r>
      <w:r>
        <w:rPr>
          <w:rFonts w:ascii="Calibri" w:hAnsi="Calibri"/>
          <w:b w:val="0"/>
          <w:color w:val="3A4A28"/>
          <w:sz w:val="17"/>
        </w:rPr>
        <w:t>Kopin Q1 2026 Earnings Call Transcript — $21.5M Thermal Follow-on, $3.2M Sentinel FPV, European HMD Awards, $52-60M Guidance — Yahoo Finance, May 2026</w:t>
      </w:r>
    </w:p>
    <w:p>
      <w:pPr>
        <w:spacing w:before="20" w:after="20"/>
        <w:ind w:left="170"/>
      </w:pPr>
      <w:r>
        <w:rPr>
          <w:rFonts w:ascii="Calibri" w:hAnsi="Calibri"/>
          <w:b/>
          <w:color w:val="4A6B25"/>
          <w:sz w:val="15"/>
        </w:rPr>
        <w:t xml:space="preserve">3. </w:t>
      </w:r>
      <w:r>
        <w:rPr>
          <w:rFonts w:ascii="Calibri" w:hAnsi="Calibri"/>
          <w:b w:val="0"/>
          <w:color w:val="3A4A28"/>
          <w:sz w:val="17"/>
        </w:rPr>
        <w:t>Kopin Corporation ESG Framework Announcement — BusinessWire, July 2025</w:t>
      </w:r>
    </w:p>
    <w:p>
      <w:pPr>
        <w:spacing w:before="20" w:after="20"/>
        <w:ind w:left="170"/>
      </w:pPr>
      <w:r>
        <w:rPr>
          <w:rFonts w:ascii="Calibri" w:hAnsi="Calibri"/>
          <w:b/>
          <w:color w:val="4A6B25"/>
          <w:sz w:val="15"/>
        </w:rPr>
        <w:t xml:space="preserve">4. </w:t>
      </w:r>
      <w:r>
        <w:rPr>
          <w:rFonts w:ascii="Calibri" w:hAnsi="Calibri"/>
          <w:b w:val="0"/>
          <w:color w:val="3A4A28"/>
          <w:sz w:val="17"/>
        </w:rPr>
        <w:t>Kopin Corporation NeuralDisplay Architecture, Leadership Strategy — AI Journal / BusinessWire, 2024-2025</w:t>
      </w:r>
    </w:p>
    <w:p>
      <w:pPr>
        <w:spacing w:before="20" w:after="20"/>
        <w:ind w:left="170"/>
      </w:pPr>
      <w:r>
        <w:rPr>
          <w:rFonts w:ascii="Calibri" w:hAnsi="Calibri"/>
          <w:b/>
          <w:color w:val="4A6B25"/>
          <w:sz w:val="15"/>
        </w:rPr>
        <w:t xml:space="preserve">5. </w:t>
      </w:r>
      <w:r>
        <w:rPr>
          <w:rFonts w:ascii="Calibri" w:hAnsi="Calibri"/>
          <w:b w:val="0"/>
          <w:color w:val="3A4A28"/>
          <w:sz w:val="17"/>
        </w:rPr>
        <w:t>Fabric.AI and Kopin Joint Steering Committee for Neural I/O Industry Engagement, Led by CEO Michael Murray — GlobeNewsWire, August 2026</w:t>
      </w:r>
    </w:p>
    <w:p>
      <w:pPr>
        <w:spacing w:before="20" w:after="20"/>
        <w:ind w:left="170"/>
      </w:pPr>
      <w:r>
        <w:rPr>
          <w:rFonts w:ascii="Calibri" w:hAnsi="Calibri"/>
          <w:b/>
          <w:color w:val="4A6B25"/>
          <w:sz w:val="15"/>
        </w:rPr>
        <w:t xml:space="preserve">6. </w:t>
      </w:r>
      <w:r>
        <w:rPr>
          <w:rFonts w:ascii="Calibri" w:hAnsi="Calibri"/>
          <w:b w:val="0"/>
          <w:color w:val="3A4A28"/>
          <w:sz w:val="17"/>
        </w:rPr>
        <w:t>Kopin Q2 2026 Earnings — Revenue $12.7M (+51% YoY), Gross Profit $6.1M, GAAP Profitability, $45M Orders YTD, $100M Revenue Target by 2028 — GuruFocus / Yahoo Finance, August 2026</w:t>
      </w:r>
    </w:p>
    <w:p>
      <w:pPr>
        <w:spacing w:before="20" w:after="20"/>
        <w:ind w:left="170"/>
      </w:pPr>
      <w:r>
        <w:rPr>
          <w:rFonts w:ascii="Calibri" w:hAnsi="Calibri"/>
          <w:b/>
          <w:color w:val="4A6B25"/>
          <w:sz w:val="15"/>
        </w:rPr>
        <w:t xml:space="preserve">7. </w:t>
      </w:r>
      <w:r>
        <w:rPr>
          <w:rFonts w:ascii="Calibri" w:hAnsi="Calibri"/>
          <w:b w:val="0"/>
          <w:color w:val="3A4A28"/>
          <w:sz w:val="17"/>
        </w:rPr>
        <w:t>StockAnalysis, Simply Wall St — KOPN Financial Statistics: D/E 2%, ROE 4.42%, Stock Price $4.28, Avg Volume 4.22M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