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KO</w:t>
      </w:r>
      <w:r>
        <w:rPr>
          <w:rFonts w:ascii="Calibri" w:hAnsi="Calibri"/>
          <w:b/>
          <w:color w:val="1A2010"/>
          <w:sz w:val="40"/>
        </w:rPr>
        <w:t xml:space="preserve">  The Coca-Cola Company</w:t>
      </w:r>
    </w:p>
    <w:p>
      <w:pPr>
        <w:spacing w:after="120"/>
      </w:pPr>
      <w:r>
        <w:rPr>
          <w:rFonts w:ascii="Calibri" w:hAnsi="Calibri"/>
          <w:b/>
          <w:color w:val="6E8450"/>
          <w:sz w:val="18"/>
        </w:rPr>
        <w:t>DIVIDEND SLEEVE · 2026-10-08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Non-Alcoholic · NYQ · United States</w:t>
      </w:r>
    </w:p>
    <w:p>
      <w:pPr>
        <w:spacing w:after="80"/>
      </w:pPr>
      <w:r>
        <w:rPr>
          <w:rFonts w:ascii="Calibri" w:hAnsi="Calibri"/>
          <w:b w:val="0"/>
          <w:color w:val="3A4A28"/>
          <w:sz w:val="20"/>
        </w:rPr>
        <w:t>The Coca-Cola Company manufactures and sells nonalcoholic beverages worldwide through a network of bottling partners, distributors, and retailers. The company's portfolio spans sparkling soft drinks (Coca-Cola, Sprite, Fanta), water (Dasani, smartwater), sports drinks (Powerade, BODYARMOR), coffee (Costa), juice (Minute Maid, Simply), and dairy (fairlife). Q2 2026 revenue reached $13.4B (up 7% YoY) with organic revenue growing 6% and global unit case volume up 5%. Founded in 1886 and headquartered in Atlanta, Georgia.</w:t>
      </w:r>
    </w:p>
    <w:p>
      <w:r>
        <w:rPr>
          <w:rFonts w:ascii="Calibri" w:hAnsi="Calibri"/>
          <w:b/>
          <w:color w:val="6E8450"/>
          <w:sz w:val="18"/>
        </w:rPr>
        <w:t>65,900 Employees · https://www.coca-colacompany.com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Coca-Cola has expanded its portfolio through acquisitions — Costa Coffee (2019), BODYARMOR (2021), and fairlife dairy — representing incremental brand and category extensions rather than transformative business model pivots [1]. The 'total beverage company' strategy broadened the portfolio into coffee, sports drinks, and dairy, but the core business remains carbonated soft drinks sold through the same concentrate-and-bottler model used for over a century. AI Deployment (1/2): Coca-Cola created a cross-functional digital council to inventory AI capabilities across the company and found AI was being used more broadly than anticipated, including in marketing and supply chain optimization [2]. However, no specific AI-driven revenue figures or quantified cost savings were identified. The CEO transition has been explicitly framed around the need for AI-native leadership, signaling intent but not yet measurable results. Market Share (2/2): Coca-Cola is the dominant global non-alcoholic beverage company, with the world's most recognized brand and a portfolio of 200+ brands sold in 200+ countries [1]. Coca-Cola and Diet Coke/Zero Sugar consistently hold the #1 and #2 positions in U.S. sparkling soft drinks, and the company's global distribution network through independent bottling partners is unmatched in the industry. Product Pipeline (0/2): No specific next-generation products with named launch dates and revenue visibility were identified. Portfolio evolution is incremental and reactive to consumer trends rather than pipeline-driven. R&amp;D Intensity (0/1): Beverage companies invest relatively little in traditional R&amp;D. Coca-Cola's innovation is primarily in marketing, branding, and packaging rather than product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Coca-Cola's stated purpose is 'Refresh the world. Make a difference.' — a clear statement that identifies what the company does and connects it to broader impact, but it is not deeply distinctive or transformative [2]. The mission is specific enough to differentiate from generic corporate boilerplate but does not articulate an idealistic future state or serve as a strategic decision-making anchor. It reads as polished marketing rather than a genuine Just Cause. Community Impact (1/2): The Coca-Cola Foundation is one of the world's largest corporate foundations, with significant investments in water stewardship, community recycling, and education programs globally. The company has ambitious sustainability targets including water replenishment programs. However, specific recent dollar amounts and measurable program impact data were not readily quantifiable in this research. Employee Retention (1/2): CEO James Quincey served for approximately 8 years before stepping down in 2026, and the leadership transition to Henrique Braun was planned and deliberate, suggesting organizational stability [2]. With 65,900 employees and a legacy brand, Coca-Cola benefits from strong employer brand recognition. However, no specific voluntary turnover data or average tenure metrics were available.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Coca-Cola's financial profile is anchored by exceptional profitability: ROE of 42.1% (score 1.0) and profit margin of 28.6% (score 1.0) reflect the capital-light concentrate model's pricing power [1]. Revenue growth is the moderate weak point: YoY growth of 6.7% (score 0.89) and estimated 5-year CAGR of approximately 3.7% (score 0.58) reflect a mature global franchise growing through pricing and mix rather than volume expansion. Forward P/E of 24.35 is modestly above the 20 target (score 0.89), and D/E of 115.5% is elevated versus the 70% target (score 0.80) reflecting Coca-Cola's deliberate leverage to fund buybacks and dividends. Dividend metrics are strong: 62 consecutive years of dividend increases (Dividend King) anchors the income profile (consecutive years paid score 1.0, 2x weight; consecutive years growth score 1.0), payout ratio of 62.5% is above the 40% target (score 0.63), and 5-year dividend growth CAGR of approximately 4.75% is below the 6% target (score 0.79, 2x weight). Daily dollar volume of $1.36B provides maximum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Coca-Cola demonstrates mixed infinite game thinking, anchored by a 140-year history and one of the most recognized Just Causes in business — bringing refreshment and moments of happiness to people worldwide. The company has evolved from a single fountain drink to a total beverage company, and the proactive CEO succession citing AI readiness shows forward-looking leadership. However, the company's dominant market position and steady-state financial model can breed complacency, and the incremental nature of its innovation — brand extensions rather than transformative reinvention — suggests a company managing its franchise rather than reimagining its future.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Coca-Cola's purpose — bringing refreshment and making a difference — has been validated by 140 years of execution across every market cycle, war, recession, and technological disruption imaginable [1]. The brand has survived two World Wars, the Great Depression, the cola wars, health-conscious consumer shifts, and sugar taxes. Strategic decisions can be traced to the cause: expanding into water, juice, and dairy reflects a commitment to refreshment beyond carbonation. However, 'refreshing the world' is fundamentally about product delivery rather than a transformative vision of a better future. The cause is durable and distinctive but falls short of the idealistic, never-fully-achievable standard Sinek envisions.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Coca-Cola's leadership structure shows stability: James Quincey served as CEO for approximately 8 years before a planned, deliberate succession to Henrique Braun, and the company maintains long-tenured senior leadership [2]. With 65,900 employees and strong employer brand recognition, the organization benefits from cultural continuity. However, no specific data on voluntary turnover, average tenure, or employee satisfaction distinguished Coca-Cola from consumer staples industry norms. The large bottling partner network introduces organizational complexity that is outside Coca-Cola's direct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Coca-Cola/PepsiCo rivalry is one of business history's most productive competitive relationships. Coca-Cola has consistently used PepsiCo's strengths — Pepsi's snack food diversification, its earlier move into healthier alternatives, and its marketing innovation — as motivation to improve its own portfolio and strategy [1]. The 'total beverage company' transformation was partly inspired by PepsiCo's broader portfolio success. Management commentary frames competition as driving improvement rather than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Coca-Cola has gradually diversified from a single carbonated soft drink into a 'total beverage company' spanning coffee (Costa), sports drinks (BODYARMOR), dairy (fairlife), water (smartwater, Dasani), and juice (Simply, Minute Maid) [1]. This represents meaningful portfolio evolution over decades. However, these shifts have been incremental acquisitions and brand extensions within the beverage category rather than transformative reinventions. Coca-Cola has never abandoned its core carbonated business or made a dramatic strategic pivot, and the concentrate-and-bottler model has remained fundamentally unchanged since the 1890s.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James Quincey proactively initiated his own succession, citing the need for AI-native leadership to navigate the next wave of growth — a rare example of a CEO stepping aside for the company's long-term benefit rather than clinging to the position [2]. The 'total beverage company' strategy required investing in portfolio diversification and accepting near-term margin pressure from acquisitions (Costa, BODYARMOR). However, these decisions represent incremental strategic moves by a dominant incumbent rather than bold bets that sacrifice meaningful short-term earnings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Coca-Cola at $85.82 with a $369B market cap is the world's dominant non-alcoholic beverage company, delivering Q2 2026 revenue of $13.4B (up 7% YoY) with organic revenue growth of 6%, global unit case volume up 5%, and EPS of $1.03 (up 16% YoY) [1]. The company raised FY2026 guidance to 5% organic revenue growth and 7-8% comparable currency-neutral earnings growth, reflecting broad-based momentum across regions and categories. Coca-Cola's financial profile is exceptional: 42.1% ROE, 28.6% profit margins, $16.3B operating cash flow, and a 62-year streak of consecutive dividend increases (Dividend King) with a 2.47% current yield. The capital-light concentrate model generates extraordinary free cash flow with minimal capital requirements, and the 200+ country distribution network through independent bottling partners provides an unassailable global moat [1][2].</w:t>
      </w:r>
    </w:p>
    <w:p>
      <w:pPr>
        <w:spacing w:after="120"/>
      </w:pPr>
      <w:r>
        <w:rPr>
          <w:rFonts w:ascii="Calibri" w:hAnsi="Calibri"/>
          <w:b w:val="0"/>
          <w:color w:val="3A4A28"/>
          <w:sz w:val="20"/>
        </w:rPr>
        <w:t>The bear case centers on premium valuation and structural growth limitations. At 24.35x forward earnings with a PEG of 3.91, Coca-Cola prices in steady-state perfection with minimal margin of safety for any misstep — the stock trades at a significant premium to the S&amp;P 500 despite organic revenue growth of only 5-6% [1]. The 5-year revenue CAGR of approximately 3.7% barely exceeds inflation, reflecting the reality that the global beverage market is mature and volume growth is limited. D/E of 115.5% is elevated, with $44.3B in debt used primarily to fund buybacks and dividends rather than growth investment. The planned divestiture of Coca-Cola Beverages Africa will temporarily reduce revenue figures. ESG controversies including greenwashing litigation from LA County and Earth Island Institute over plastic pollution claims, combined with broader consumer health trends away from sugary drinks, create headline risk [3]. The CEO transition from Quincey to Braun, while planned, introduces execution uncertainty during the shift toward AI-enabled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FY2026 guidance to 5% organic revenue growth and 7-8% comparable currency-neutral earnings growth, with Q2 global unit case volume up 5% signaling broad-based consumer demand recovery across developed and emerging markets [1]</w:t>
      </w:r>
    </w:p>
    <w:p>
      <w:pPr>
        <w:spacing w:before="40" w:after="40"/>
        <w:ind w:left="283"/>
      </w:pPr>
      <w:r>
        <w:rPr>
          <w:rFonts w:ascii="Calibri" w:hAnsi="Calibri"/>
          <w:b/>
          <w:color w:val="4A6B25"/>
          <w:sz w:val="20"/>
        </w:rPr>
        <w:t xml:space="preserve">2. </w:t>
      </w:r>
      <w:r>
        <w:rPr>
          <w:rFonts w:ascii="Calibri" w:hAnsi="Calibri"/>
          <w:b w:val="0"/>
          <w:color w:val="3A4A28"/>
          <w:sz w:val="20"/>
        </w:rPr>
        <w:t>CEO transition to Henrique Braun explicitly oriented toward AI-native leadership could accelerate operational efficiency through AI-enabled demand forecasting, marketing personalization, and supply chain optimization across the 200+ country bottling network [2]</w:t>
      </w:r>
    </w:p>
    <w:p>
      <w:pPr>
        <w:spacing w:before="40" w:after="40"/>
        <w:ind w:left="283"/>
      </w:pPr>
      <w:r>
        <w:rPr>
          <w:rFonts w:ascii="Calibri" w:hAnsi="Calibri"/>
          <w:b/>
          <w:color w:val="4A6B25"/>
          <w:sz w:val="20"/>
        </w:rPr>
        <w:t xml:space="preserve">3. </w:t>
      </w:r>
      <w:r>
        <w:rPr>
          <w:rFonts w:ascii="Calibri" w:hAnsi="Calibri"/>
          <w:b w:val="0"/>
          <w:color w:val="3A4A28"/>
          <w:sz w:val="20"/>
        </w:rPr>
        <w:t>62-year Dividend King streak with 2.47% yield and consistent mid-single-digit dividend growth provides reliable income generation backed by $16.3B annual operating cash flow and the most defensive business model in consumer staples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24.35x forward earnings and PEG of 3.91 leaves minimal margin of safety — organic revenue growth of 5-6% and a 5-year revenue CAGR of 3.7% barely exceed inflation, pricing in perfection for a mature franchise with limited volume growth runway [1]</w:t>
      </w:r>
    </w:p>
    <w:p>
      <w:pPr>
        <w:spacing w:before="40" w:after="40"/>
        <w:ind w:left="283"/>
      </w:pPr>
      <w:r>
        <w:rPr>
          <w:rFonts w:ascii="Calibri" w:hAnsi="Calibri"/>
          <w:b/>
          <w:color w:val="4A6B25"/>
          <w:sz w:val="20"/>
        </w:rPr>
        <w:t xml:space="preserve">2. </w:t>
      </w:r>
      <w:r>
        <w:rPr>
          <w:rFonts w:ascii="Calibri" w:hAnsi="Calibri"/>
          <w:b w:val="0"/>
          <w:color w:val="3A4A28"/>
          <w:sz w:val="20"/>
        </w:rPr>
        <w:t>Greenwashing and plastic pollution litigation from LA County and Earth Island Institute alleging misrepresentation of environmental practices, combined with consumer health trends shifting away from sugary beverages, creates sustained headline and regulatory risk [3]</w:t>
      </w:r>
    </w:p>
    <w:p>
      <w:pPr>
        <w:spacing w:before="40" w:after="40"/>
        <w:ind w:left="283"/>
      </w:pPr>
      <w:r>
        <w:rPr>
          <w:rFonts w:ascii="Calibri" w:hAnsi="Calibri"/>
          <w:b/>
          <w:color w:val="4A6B25"/>
          <w:sz w:val="20"/>
        </w:rPr>
        <w:t xml:space="preserve">3. </w:t>
      </w:r>
      <w:r>
        <w:rPr>
          <w:rFonts w:ascii="Calibri" w:hAnsi="Calibri"/>
          <w:b w:val="0"/>
          <w:color w:val="3A4A28"/>
          <w:sz w:val="20"/>
        </w:rPr>
        <w:t>Elevated leverage at 115.5% D/E ($44.3B debt vs. $16.4B cash) used primarily to fund buybacks and dividends constrains financial flexibility for transformative acquisitions or investment, while the planned Coca-Cola Beverages Africa divestiture will temporarily compress reported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Coca-Cola's core business — manufacturing, distributing, and marketing beverages through a global network of bottling partners and retailers — is structurally immune to AI disruption [1][2]. Consumers will continue to drink beverages regardless of AI advances, and the physical manufacturing, logistics, and retail distribution infrastructure cannot be replaced by software. Coca-Cola's competitive moat is built on brand equity (the world's most recognized brand), a 200+ country distribution network, exclusive bottler relationships, and consumer taste preference — none of which are vulnerable to AI substitution. AI may actually improve Coca-Cola's operations through better demand forecasting, marketing personalization, and supply chain optimization. The CEO transition was explicitly motivated by the desire for AI-native leadership, suggesting the company views AI as an operational opportunity, not an existential threat [2]. AI Opportunity (0/1): Coca-Cola does not generate quantifiable revenue from AI products or services. Internal AI use in marketing and supply chain optimization exists but has not been broken out as a revenue or savings figure.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-53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Alcohol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Coca-Cola Q2 2026 Earnings — Revenue $13.4B (+7% YoY), Organic Revenue +6%, Unit Case Volume +5%, EPS $1.03 (+16%), FY26 Guidance Raised to 5% Organic Growth and 7-8% Earnings Growth — SEC Form 8-K, Food Ingredients First, Food Business MEA, July 2026</w:t>
      </w:r>
    </w:p>
    <w:p>
      <w:pPr>
        <w:spacing w:before="20" w:after="20"/>
        <w:ind w:left="170"/>
      </w:pPr>
      <w:r>
        <w:rPr>
          <w:rFonts w:ascii="Calibri" w:hAnsi="Calibri"/>
          <w:b/>
          <w:color w:val="4A6B25"/>
          <w:sz w:val="15"/>
        </w:rPr>
        <w:t xml:space="preserve">2. </w:t>
      </w:r>
      <w:r>
        <w:rPr>
          <w:rFonts w:ascii="Calibri" w:hAnsi="Calibri"/>
          <w:b w:val="0"/>
          <w:color w:val="3A4A28"/>
          <w:sz w:val="17"/>
        </w:rPr>
        <w:t>Coca-Cola CEO Transition and AI Strategy — James Quincey Stepping Down Citing AI Leadership Needs, Henrique Braun Named Successor, Digital Council AI Inventory — Fortune, TechRadar, Kavout, 2025-2026</w:t>
      </w:r>
    </w:p>
    <w:p>
      <w:pPr>
        <w:spacing w:before="20" w:after="20"/>
        <w:ind w:left="170"/>
      </w:pPr>
      <w:r>
        <w:rPr>
          <w:rFonts w:ascii="Calibri" w:hAnsi="Calibri"/>
          <w:b/>
          <w:color w:val="4A6B25"/>
          <w:sz w:val="15"/>
        </w:rPr>
        <w:t xml:space="preserve">3. </w:t>
      </w:r>
      <w:r>
        <w:rPr>
          <w:rFonts w:ascii="Calibri" w:hAnsi="Calibri"/>
          <w:b w:val="0"/>
          <w:color w:val="3A4A28"/>
          <w:sz w:val="17"/>
        </w:rPr>
        <w:t>Coca-Cola ESG Controversies — LA County Greenwashing Suit, Earth Island Institute Plastic Pollution Complaint, France FNE Allegations, Sustainalytics Controversy Level 3 — Kelley Drye, Kingsley Napley,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